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3968A21F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SESIÓN ORDINARIA No. 0</w:t>
      </w:r>
      <w:r w:rsidR="007C64A1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4</w:t>
      </w:r>
    </w:p>
    <w:p w14:paraId="00EA3A2E" w14:textId="089DC0D5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 xml:space="preserve">DE LA COMISION EDILICIA PERMANENTE DE </w:t>
      </w:r>
      <w:r w:rsidR="007C64A1">
        <w:rPr>
          <w:rFonts w:eastAsia="Times New Roman"/>
          <w:b/>
          <w:bCs/>
          <w:color w:val="000000"/>
          <w:lang w:val="es-MX" w:eastAsia="en-US"/>
        </w:rPr>
        <w:t>CULTURA, EDUCACIÓN Y FESTIVIDADES CÍVICAS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3BA6499" w14:textId="6E53E535" w:rsidR="00987BD3" w:rsidRPr="007C64A1" w:rsidRDefault="00987BD3" w:rsidP="00987BD3">
      <w:pPr>
        <w:numPr>
          <w:ilvl w:val="0"/>
          <w:numId w:val="6"/>
        </w:numPr>
        <w:spacing w:after="160"/>
        <w:ind w:left="3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  <w:r w:rsidRPr="007C64A1">
        <w:rPr>
          <w:rFonts w:eastAsia="Calibri"/>
          <w:lang w:val="es-MX" w:eastAsia="en-US"/>
          <w14:ligatures w14:val="standardContextual"/>
        </w:rPr>
        <w:t xml:space="preserve">TEMA </w:t>
      </w:r>
      <w:r w:rsidRPr="007C64A1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r w:rsidR="007C64A1">
        <w:rPr>
          <w:rFonts w:eastAsia="Times New Roman"/>
          <w:color w:val="000000"/>
          <w:lang w:val="es-MX" w:eastAsia="en-US"/>
          <w14:ligatures w14:val="standardContextual"/>
        </w:rPr>
        <w:t xml:space="preserve">Estudio, Análisis y en su caso Dictaminación de LA INICIATIVA DE ACUERDO QUE TURNA A COMISIÓN OFICIO SUSCRITO POR EL CRONISTA DE LA CIUDAD, que turna a la Comisión Edilicia Permanente de Cultura, Educación y Festividades Cívicas; mediante oficio de turno NOT/024-A/2025 </w:t>
      </w:r>
    </w:p>
    <w:p w14:paraId="238D02D7" w14:textId="77777777" w:rsidR="007C64A1" w:rsidRPr="007C64A1" w:rsidRDefault="007C64A1" w:rsidP="007C64A1">
      <w:pPr>
        <w:spacing w:after="160"/>
        <w:ind w:left="3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  <w:bookmarkStart w:id="0" w:name="_GoBack"/>
      <w:bookmarkEnd w:id="0"/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04A1665A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1" w:name="_Hlk183086387"/>
            <w:bookmarkStart w:id="2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</w:t>
            </w:r>
            <w:r w:rsidR="007C64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Cultura, Educación y Festividades Cívicas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749921" wp14:editId="2A2335F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2867801B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eastAsia="Arial" w:hAnsi="Arial" w:cs="Arial"/>
                <w:sz w:val="24"/>
                <w:szCs w:val="24"/>
              </w:rPr>
              <w:t>Oscar Murguía Torres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550650BA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hAnsi="Arial" w:cs="Arial"/>
                <w:sz w:val="24"/>
                <w:szCs w:val="24"/>
              </w:rPr>
              <w:t>Dunia Catalina Cruz Moreno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1"/>
      <w:bookmarkEnd w:id="2"/>
      <w:bookmarkEnd w:id="3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7FA61" w14:textId="77777777" w:rsidR="00E65794" w:rsidRDefault="00E65794" w:rsidP="006071B5">
      <w:pPr>
        <w:spacing w:line="240" w:lineRule="auto"/>
      </w:pPr>
      <w:r>
        <w:separator/>
      </w:r>
    </w:p>
  </w:endnote>
  <w:endnote w:type="continuationSeparator" w:id="0">
    <w:p w14:paraId="5DCDA43F" w14:textId="77777777" w:rsidR="00E65794" w:rsidRDefault="00E65794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CE9D" w14:textId="77777777" w:rsidR="00E65794" w:rsidRDefault="00E65794" w:rsidP="006071B5">
      <w:pPr>
        <w:spacing w:line="240" w:lineRule="auto"/>
      </w:pPr>
      <w:r>
        <w:separator/>
      </w:r>
    </w:p>
  </w:footnote>
  <w:footnote w:type="continuationSeparator" w:id="0">
    <w:p w14:paraId="324E74FB" w14:textId="77777777" w:rsidR="00E65794" w:rsidRDefault="00E65794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E65794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C64A1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65794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2025-02-14T19:16:00Z</cp:lastPrinted>
  <dcterms:created xsi:type="dcterms:W3CDTF">2025-03-19T19:42:00Z</dcterms:created>
  <dcterms:modified xsi:type="dcterms:W3CDTF">2025-03-19T19:42:00Z</dcterms:modified>
</cp:coreProperties>
</file>