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239EF46A" w:rsidR="00987BD3" w:rsidRPr="00987BD3" w:rsidRDefault="006A26AD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13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18B97537" w14:textId="1D274C44" w:rsidR="006A26AD" w:rsidRPr="006A26AD" w:rsidRDefault="00987BD3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6A26AD">
        <w:rPr>
          <w:rFonts w:eastAsia="Calibri"/>
          <w:lang w:val="es-MX" w:eastAsia="en-US"/>
          <w14:ligatures w14:val="standardContextual"/>
        </w:rPr>
        <w:t xml:space="preserve">TEMA </w:t>
      </w:r>
      <w:r w:rsidRPr="006A26AD">
        <w:rPr>
          <w:rFonts w:eastAsia="Times New Roman"/>
          <w:color w:val="000000"/>
          <w:lang w:val="es-MX" w:eastAsia="en-US"/>
          <w14:ligatures w14:val="standardContextual"/>
        </w:rPr>
        <w:t>3</w:t>
      </w:r>
      <w:r w:rsidR="007B5D64" w:rsidRPr="006A26AD">
        <w:rPr>
          <w:color w:val="000000" w:themeColor="text1"/>
          <w:sz w:val="24"/>
          <w:szCs w:val="24"/>
        </w:rPr>
        <w:t xml:space="preserve">. </w:t>
      </w:r>
      <w:r w:rsidR="006A26AD" w:rsidRPr="006A26AD">
        <w:rPr>
          <w:rFonts w:eastAsia="Times New Roman"/>
          <w:sz w:val="24"/>
          <w:szCs w:val="24"/>
          <w:lang w:val="es-ES" w:eastAsia="es-ES"/>
        </w:rPr>
        <w:t>Estudio, análisis y su caso dictaminacion de la convocatoria de la presea José María Arreola M</w:t>
      </w:r>
      <w:bookmarkStart w:id="0" w:name="_GoBack"/>
      <w:bookmarkEnd w:id="0"/>
      <w:r w:rsidR="006A26AD" w:rsidRPr="006A26AD">
        <w:rPr>
          <w:rFonts w:eastAsia="Times New Roman"/>
          <w:sz w:val="24"/>
          <w:szCs w:val="24"/>
          <w:lang w:val="es-ES" w:eastAsia="es-ES"/>
        </w:rPr>
        <w:t xml:space="preserve">endoza 2025 </w:t>
      </w:r>
      <w:r w:rsidR="006A26AD">
        <w:rPr>
          <w:rFonts w:eastAsia="Times New Roman"/>
          <w:sz w:val="24"/>
          <w:szCs w:val="24"/>
          <w:lang w:val="es-ES" w:eastAsia="es-ES"/>
        </w:rPr>
        <w:t xml:space="preserve">y </w:t>
      </w:r>
      <w:r w:rsidR="006A26AD" w:rsidRPr="006A26AD">
        <w:rPr>
          <w:rFonts w:eastAsia="Times New Roman"/>
          <w:sz w:val="24"/>
          <w:szCs w:val="24"/>
          <w:lang w:val="es-ES" w:eastAsia="es-ES"/>
        </w:rPr>
        <w:t>Estudio Análisis, aprobación y dictaminacion de la iniciativa que propone que el año 2026 se ha decretado como 2026 como centenario del natalicio conductor  Zapotlense Rubén Fuentes Gasson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144A536B" w14:textId="1535DA37" w:rsidR="006A26AD" w:rsidRPr="006A26AD" w:rsidRDefault="006A26AD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074A2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B40234" w:rsidRPr="00B402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B40234" w:rsidRPr="00B402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26A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0234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6</cp:revision>
  <cp:lastPrinted>2026-03-18T18:25:00Z</cp:lastPrinted>
  <dcterms:created xsi:type="dcterms:W3CDTF">2025-03-19T19:42:00Z</dcterms:created>
  <dcterms:modified xsi:type="dcterms:W3CDTF">2026-03-18T19:32:00Z</dcterms:modified>
</cp:coreProperties>
</file>