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3B3ED915" w14:textId="7A143F3E" w:rsidR="00040E48" w:rsidRPr="00510299" w:rsidRDefault="00DC2AA4" w:rsidP="00510299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463AFF92" w14:textId="57F06075" w:rsidR="00DC2AA4" w:rsidRPr="00613BEF" w:rsidRDefault="00DC2AA4" w:rsidP="00613BEF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452077">
        <w:rPr>
          <w:rFonts w:ascii="Arial" w:eastAsia="Calibri" w:hAnsi="Arial" w:cs="Arial"/>
          <w:sz w:val="24"/>
          <w:szCs w:val="24"/>
        </w:rPr>
        <w:t xml:space="preserve">      </w:t>
      </w:r>
      <w:r w:rsidR="00613BEF" w:rsidRPr="00A66ACB">
        <w:rPr>
          <w:rFonts w:ascii="Arial" w:eastAsia="Arial" w:hAnsi="Arial" w:cs="Arial"/>
        </w:rPr>
        <w:t xml:space="preserve">Los que suscribimos </w:t>
      </w:r>
      <w:r w:rsidR="00613BEF" w:rsidRPr="00A66ACB">
        <w:rPr>
          <w:rFonts w:ascii="Arial" w:eastAsia="Arial" w:hAnsi="Arial" w:cs="Arial"/>
          <w:b/>
          <w:bCs/>
        </w:rPr>
        <w:t>CC.</w:t>
      </w:r>
      <w:r w:rsidR="00613BEF" w:rsidRPr="00A66ACB">
        <w:rPr>
          <w:rFonts w:ascii="Arial" w:eastAsia="Arial" w:hAnsi="Arial" w:cs="Arial"/>
        </w:rPr>
        <w:t xml:space="preserve"> </w:t>
      </w:r>
      <w:r w:rsidR="00613BEF" w:rsidRPr="00A66ACB">
        <w:rPr>
          <w:rFonts w:ascii="Arial" w:eastAsia="Arial" w:hAnsi="Arial" w:cs="Arial"/>
          <w:b/>
          <w:bCs/>
        </w:rPr>
        <w:t xml:space="preserve">Yuritzi Alejandra Hermosillo Tejeda, </w:t>
      </w:r>
      <w:r w:rsidR="00613BEF" w:rsidRPr="00A66ACB">
        <w:rPr>
          <w:rFonts w:ascii="Arial" w:eastAsia="Arial" w:hAnsi="Arial" w:cs="Arial"/>
        </w:rPr>
        <w:t xml:space="preserve"> en representación del Mtro. Alejandro Barragán Sánchez, </w:t>
      </w:r>
      <w:r w:rsidR="00613BEF" w:rsidRPr="00A66ACB">
        <w:rPr>
          <w:rFonts w:ascii="Arial" w:eastAsia="Arial" w:hAnsi="Arial" w:cs="Arial"/>
          <w:b/>
          <w:bCs/>
        </w:rPr>
        <w:t>Tania Magdalena Bernardino Juárez y Magali Casillas Contreras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452077"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RP-</w:t>
      </w:r>
      <w:r w:rsidR="00AA3216">
        <w:rPr>
          <w:rStyle w:val="Ninguno"/>
          <w:rFonts w:ascii="Arial" w:hAnsi="Arial"/>
          <w:b/>
          <w:bCs/>
          <w:sz w:val="24"/>
          <w:szCs w:val="24"/>
          <w:lang w:val="es-ES"/>
        </w:rPr>
        <w:t>0</w:t>
      </w:r>
      <w:r w:rsidR="00613BEF">
        <w:rPr>
          <w:rStyle w:val="Ninguno"/>
          <w:rFonts w:ascii="Arial" w:hAnsi="Arial"/>
          <w:b/>
          <w:bCs/>
          <w:sz w:val="24"/>
          <w:szCs w:val="24"/>
          <w:lang w:val="es-ES"/>
        </w:rPr>
        <w:t>5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-202</w:t>
      </w:r>
      <w:r w:rsidR="00AA3216">
        <w:rPr>
          <w:rStyle w:val="Ninguno"/>
          <w:rFonts w:ascii="Arial" w:hAnsi="Arial"/>
          <w:b/>
          <w:bCs/>
          <w:sz w:val="24"/>
          <w:szCs w:val="24"/>
          <w:lang w:val="es-ES"/>
        </w:rPr>
        <w:t>4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7467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DENOMINADA: </w:t>
      </w:r>
      <w:r w:rsidR="00613BEF" w:rsidRPr="00613BEF">
        <w:rPr>
          <w:rFonts w:ascii="Arial" w:eastAsia="Calibri" w:hAnsi="Arial" w:cs="Arial"/>
          <w:b/>
        </w:rPr>
        <w:t>CONSTRUCCIÓN DE BASE Y EMPEDRADO CON HUELLAS DE RODAMIENTO, CONSTRUCCION DE REDES DE DRENAJE Y AGUA POTABLE Y CONSTRUCCIÓN DE BANQUETAS Y MACHUELOS EN LA CALLE ABRAHAM GONZÁLEZ ENTRE LA CALLE CARMEN</w:t>
      </w:r>
      <w:r w:rsidR="00613BEF" w:rsidRPr="00613BEF">
        <w:rPr>
          <w:rFonts w:eastAsia="Calibri" w:cs="Arial"/>
          <w:b/>
        </w:rPr>
        <w:t xml:space="preserve"> </w:t>
      </w:r>
      <w:r w:rsidR="00613BEF" w:rsidRPr="00613BEF">
        <w:rPr>
          <w:rFonts w:ascii="Arial" w:eastAsia="Calibri" w:hAnsi="Arial" w:cs="Arial"/>
          <w:b/>
        </w:rPr>
        <w:t>SERDÁN Y LA CALLE PROL. HEROICO COLEGIO MILITAR, EN LA COLONIA REVOLUCIÓN EN CIUDAD GUZMÁN, MUNICIPIO DE ZAPOTLÁN EL GRANDE, JALISCO</w:t>
      </w:r>
      <w:r w:rsidR="00CA0A31">
        <w:rPr>
          <w:rFonts w:ascii="Arial" w:eastAsia="Times New Roman" w:hAnsi="Arial" w:cs="Arial"/>
          <w:b/>
          <w:bCs/>
          <w:lang w:eastAsia="es-MX"/>
        </w:rPr>
        <w:t>,</w:t>
      </w:r>
      <w:r w:rsidR="00613BEF">
        <w:rPr>
          <w:rStyle w:val="Ninguno"/>
          <w:rFonts w:ascii="Arial" w:hAnsi="Arial"/>
          <w:b/>
          <w:bCs/>
          <w:sz w:val="24"/>
          <w:szCs w:val="24"/>
          <w:lang w:val="es-MX"/>
        </w:rPr>
        <w:t xml:space="preserve">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606B5496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098E273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CF6726E" w14:textId="77777777" w:rsidR="00AA3216" w:rsidRPr="00745BCC" w:rsidRDefault="00DC2AA4" w:rsidP="00AA3216">
      <w:pPr>
        <w:jc w:val="both"/>
        <w:rPr>
          <w:rFonts w:ascii="Arial" w:hAnsi="Arial" w:cs="Arial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="00AA3216" w:rsidRPr="00745BCC">
        <w:rPr>
          <w:rFonts w:ascii="Arial" w:hAnsi="Arial" w:cs="Arial"/>
          <w:bCs/>
          <w:lang w:val="es-ES"/>
        </w:rPr>
        <w:t xml:space="preserve">Mediante </w:t>
      </w:r>
      <w:r w:rsidR="00AA3216" w:rsidRPr="00745BCC">
        <w:rPr>
          <w:rFonts w:ascii="Arial" w:hAnsi="Arial" w:cs="Arial"/>
          <w:bCs/>
          <w:i/>
          <w:lang w:val="es-ES"/>
        </w:rPr>
        <w:t>TERCER PUNTO</w:t>
      </w:r>
      <w:r w:rsidR="00AA3216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26CA8155" w:rsidR="00690A25" w:rsidRDefault="00DC2AA4" w:rsidP="00AA3216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613BEF">
        <w:rPr>
          <w:rFonts w:ascii="Arial" w:eastAsia="Calibri" w:hAnsi="Arial" w:cs="Arial"/>
          <w:szCs w:val="24"/>
          <w:lang w:val="es-ES"/>
        </w:rPr>
        <w:t xml:space="preserve">30 </w:t>
      </w:r>
      <w:r w:rsidRPr="009818FB">
        <w:rPr>
          <w:rFonts w:ascii="Arial" w:eastAsia="Calibri" w:hAnsi="Arial" w:cs="Arial"/>
          <w:szCs w:val="24"/>
          <w:lang w:val="es-ES"/>
        </w:rPr>
        <w:t>de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613BEF">
        <w:rPr>
          <w:rFonts w:ascii="Arial" w:eastAsia="Calibri" w:hAnsi="Arial" w:cs="Arial"/>
          <w:szCs w:val="24"/>
          <w:lang w:val="es-ES"/>
        </w:rPr>
        <w:t>julio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o en curso, el Director de Obras Públicas Arquitecto Julio Cesar López Frías, </w:t>
      </w:r>
      <w:r w:rsidR="00613BEF">
        <w:rPr>
          <w:rFonts w:ascii="Arial" w:eastAsia="Calibri" w:hAnsi="Arial" w:cs="Arial"/>
          <w:szCs w:val="24"/>
          <w:lang w:val="es-ES"/>
        </w:rPr>
        <w:t>hizo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</w:t>
      </w:r>
      <w:r w:rsidR="00613BEF">
        <w:rPr>
          <w:rFonts w:ascii="Arial" w:eastAsia="Calibri" w:hAnsi="Arial" w:cs="Arial"/>
          <w:szCs w:val="24"/>
          <w:lang w:val="es-ES"/>
        </w:rPr>
        <w:t xml:space="preserve">al presidente de esta comisión </w:t>
      </w:r>
      <w:r w:rsidRPr="009818FB">
        <w:rPr>
          <w:rFonts w:ascii="Arial" w:eastAsia="Calibri" w:hAnsi="Arial" w:cs="Arial"/>
          <w:szCs w:val="24"/>
          <w:lang w:val="es-ES"/>
        </w:rPr>
        <w:t xml:space="preserve">el oficio, número </w:t>
      </w:r>
      <w:r w:rsidR="00613BEF">
        <w:rPr>
          <w:rFonts w:ascii="Arial" w:eastAsia="Calibri" w:hAnsi="Arial" w:cs="Arial"/>
          <w:b/>
          <w:szCs w:val="24"/>
          <w:lang w:val="es-ES"/>
        </w:rPr>
        <w:t>340</w:t>
      </w:r>
      <w:r w:rsidR="00452077">
        <w:rPr>
          <w:rFonts w:ascii="Arial" w:eastAsia="Calibri" w:hAnsi="Arial" w:cs="Arial"/>
          <w:b/>
          <w:szCs w:val="24"/>
          <w:lang w:val="es-ES"/>
        </w:rPr>
        <w:t>/202</w:t>
      </w:r>
      <w:r w:rsidR="00AA3216">
        <w:rPr>
          <w:rFonts w:ascii="Arial" w:eastAsia="Calibri" w:hAnsi="Arial" w:cs="Arial"/>
          <w:b/>
          <w:szCs w:val="24"/>
          <w:lang w:val="es-ES"/>
        </w:rPr>
        <w:t>4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="00613BEF">
        <w:rPr>
          <w:rFonts w:ascii="Arial" w:eastAsia="Calibri" w:hAnsi="Arial" w:cs="Arial"/>
          <w:bCs/>
          <w:szCs w:val="24"/>
          <w:lang w:val="es-ES"/>
        </w:rPr>
        <w:t>informando l</w:t>
      </w:r>
      <w:r w:rsidRPr="009818FB">
        <w:rPr>
          <w:rFonts w:ascii="Arial" w:eastAsia="Calibri" w:hAnsi="Arial" w:cs="Arial"/>
          <w:szCs w:val="24"/>
          <w:lang w:val="es-ES"/>
        </w:rPr>
        <w:t xml:space="preserve">os Techos Financieros de, entre otras obras públicas, </w:t>
      </w:r>
      <w:r w:rsidR="00452077">
        <w:rPr>
          <w:rFonts w:ascii="Arial" w:eastAsia="Calibri" w:hAnsi="Arial" w:cs="Arial"/>
          <w:szCs w:val="24"/>
          <w:lang w:val="es-ES"/>
        </w:rPr>
        <w:t xml:space="preserve">la obra </w:t>
      </w:r>
      <w:r w:rsidR="00452077" w:rsidRPr="00CA6A0B">
        <w:rPr>
          <w:rFonts w:ascii="Arial" w:eastAsia="Times New Roman" w:hAnsi="Arial" w:cs="Arial"/>
          <w:b/>
          <w:bCs/>
          <w:color w:val="000000"/>
          <w:lang w:eastAsia="es-MX"/>
        </w:rPr>
        <w:t>RP-</w:t>
      </w:r>
      <w:r w:rsidR="00AA3216" w:rsidRPr="00CA6A0B">
        <w:rPr>
          <w:rFonts w:ascii="Arial" w:eastAsia="Times New Roman" w:hAnsi="Arial" w:cs="Arial"/>
          <w:b/>
          <w:bCs/>
          <w:color w:val="000000"/>
          <w:lang w:eastAsia="es-MX"/>
        </w:rPr>
        <w:t>0</w:t>
      </w:r>
      <w:r w:rsidR="00613BEF">
        <w:rPr>
          <w:rFonts w:ascii="Arial" w:eastAsia="Times New Roman" w:hAnsi="Arial" w:cs="Arial"/>
          <w:b/>
          <w:bCs/>
          <w:color w:val="000000"/>
          <w:lang w:eastAsia="es-MX"/>
        </w:rPr>
        <w:t>5</w:t>
      </w:r>
      <w:r w:rsidR="00452077" w:rsidRPr="00CA6A0B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AA3216" w:rsidRPr="00CA6A0B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2F26E9">
        <w:rPr>
          <w:rFonts w:ascii="Arial" w:eastAsia="Calibri" w:hAnsi="Arial" w:cs="Arial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lastRenderedPageBreak/>
        <w:t>provenientes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 w:rsidR="00690A25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AA3216" w:rsidRPr="007B141A" w14:paraId="72CB976E" w14:textId="77777777" w:rsidTr="00AA3216">
        <w:trPr>
          <w:trHeight w:val="353"/>
        </w:trPr>
        <w:tc>
          <w:tcPr>
            <w:tcW w:w="2462" w:type="dxa"/>
          </w:tcPr>
          <w:p w14:paraId="1D9422D0" w14:textId="77777777" w:rsidR="00AA3216" w:rsidRPr="007B141A" w:rsidRDefault="00AA3216" w:rsidP="001C6B1D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4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570841A7" w14:textId="72846794" w:rsidR="00AA3216" w:rsidRPr="007B141A" w:rsidRDefault="00AA3216" w:rsidP="001C6B1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41A">
              <w:rPr>
                <w:rFonts w:ascii="Arial" w:eastAsia="Times New Roman" w:hAnsi="Arial" w:cs="Arial"/>
                <w:color w:val="000000"/>
                <w:lang w:eastAsia="es-MX"/>
              </w:rPr>
              <w:t>RP-0</w:t>
            </w:r>
            <w:r w:rsidR="00613BEF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Pr="007B141A">
              <w:rPr>
                <w:rFonts w:ascii="Arial" w:eastAsia="Times New Roman" w:hAnsi="Arial" w:cs="Arial"/>
                <w:color w:val="000000"/>
                <w:lang w:eastAsia="es-MX"/>
              </w:rPr>
              <w:t>-2024</w:t>
            </w:r>
          </w:p>
        </w:tc>
      </w:tr>
      <w:tr w:rsidR="00AA3216" w:rsidRPr="007B141A" w14:paraId="0D7EA54D" w14:textId="77777777" w:rsidTr="00AA3216">
        <w:trPr>
          <w:trHeight w:val="709"/>
        </w:trPr>
        <w:tc>
          <w:tcPr>
            <w:tcW w:w="2462" w:type="dxa"/>
          </w:tcPr>
          <w:p w14:paraId="077D4928" w14:textId="77777777" w:rsidR="00AA3216" w:rsidRPr="007B141A" w:rsidRDefault="00AA3216" w:rsidP="001C6B1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B14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6C6C301C" w14:textId="2EBB40D9" w:rsidR="00AA3216" w:rsidRPr="00613BEF" w:rsidRDefault="00613BEF" w:rsidP="001C6B1D">
            <w:pPr>
              <w:jc w:val="both"/>
              <w:rPr>
                <w:rFonts w:cs="Arial"/>
                <w:bCs/>
              </w:rPr>
            </w:pPr>
            <w:r w:rsidRPr="00613BEF">
              <w:rPr>
                <w:rFonts w:ascii="Arial" w:eastAsia="Calibri" w:hAnsi="Arial" w:cs="Arial"/>
                <w:bCs/>
                <w:sz w:val="20"/>
                <w:szCs w:val="20"/>
              </w:rPr>
              <w:t>CONSTRUCCIÓN DE BASE Y EMPEDRADO CON HUELLAS DE RODAMIENTO, CONSTRUCCION DE REDES DE DRENAJE Y AGUA POTABLE Y CONSTRUCCIÓN DE BANQUETAS Y MACHUELOS EN LA CALLE ABRAHAM GONZÁLEZ ENTRE LA CALLE CARMEN</w:t>
            </w:r>
            <w:r w:rsidRPr="00613BEF">
              <w:rPr>
                <w:rFonts w:eastAsia="Calibri" w:cs="Arial"/>
                <w:bCs/>
                <w:sz w:val="20"/>
                <w:szCs w:val="20"/>
              </w:rPr>
              <w:t xml:space="preserve"> </w:t>
            </w:r>
            <w:r w:rsidRPr="00613BEF">
              <w:rPr>
                <w:rFonts w:ascii="Arial" w:eastAsia="Calibri" w:hAnsi="Arial" w:cs="Arial"/>
                <w:bCs/>
                <w:sz w:val="20"/>
                <w:szCs w:val="20"/>
              </w:rPr>
              <w:t>SERDÁN Y LA CALLE PROL. HEROICO COLEGIO MILITAR, EN LA COLONIA REVOLUCIÓN EN CIUDAD GUZMÁN, MUNICIPIO DE ZAPOTLÁN EL GRANDE, JALISCO</w:t>
            </w:r>
          </w:p>
        </w:tc>
      </w:tr>
      <w:tr w:rsidR="00AA3216" w:rsidRPr="007B141A" w14:paraId="3ACE732A" w14:textId="77777777" w:rsidTr="00AA3216">
        <w:trPr>
          <w:trHeight w:val="234"/>
        </w:trPr>
        <w:tc>
          <w:tcPr>
            <w:tcW w:w="2462" w:type="dxa"/>
          </w:tcPr>
          <w:p w14:paraId="4E9829A7" w14:textId="77777777" w:rsidR="00AA3216" w:rsidRPr="007B141A" w:rsidRDefault="00AA3216" w:rsidP="001C6B1D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4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180" w:type="dxa"/>
          </w:tcPr>
          <w:p w14:paraId="3E82CBBA" w14:textId="132DCB08" w:rsidR="00AA3216" w:rsidRPr="007B141A" w:rsidRDefault="00AA3216" w:rsidP="001C6B1D">
            <w:pPr>
              <w:rPr>
                <w:rFonts w:ascii="Arial" w:eastAsia="Times New Roman" w:hAnsi="Arial" w:cs="Arial"/>
                <w:lang w:eastAsia="es-MX"/>
              </w:rPr>
            </w:pP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613BEF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’</w:t>
            </w:r>
            <w:r w:rsidR="00613BEF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015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613BEF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486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613BEF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613BEF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MILLON</w:t>
            </w:r>
            <w:r w:rsidR="00613BEF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613BEF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QUINCE 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MIL </w:t>
            </w:r>
            <w:r w:rsidR="00613BEF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CUATROCIENTOS OCHENTA Y SEIS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PESOS 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613BEF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/100 M.N.)</w:t>
            </w:r>
          </w:p>
        </w:tc>
      </w:tr>
    </w:tbl>
    <w:p w14:paraId="15206B12" w14:textId="77777777" w:rsidR="00690A25" w:rsidRPr="009818FB" w:rsidRDefault="00690A25" w:rsidP="00DC2A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487586" w14:textId="67544C24" w:rsidR="00690A25" w:rsidRPr="00164DE8" w:rsidRDefault="00DC2AA4" w:rsidP="00164DE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164DE8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613BEF">
        <w:rPr>
          <w:rFonts w:ascii="Arial" w:hAnsi="Arial" w:cs="Arial"/>
          <w:bCs/>
          <w:sz w:val="24"/>
          <w:szCs w:val="24"/>
          <w:lang w:val="es-ES"/>
        </w:rPr>
        <w:t>miércoles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613BEF">
        <w:rPr>
          <w:rFonts w:ascii="Arial" w:hAnsi="Arial" w:cs="Arial"/>
          <w:bCs/>
          <w:sz w:val="24"/>
          <w:szCs w:val="24"/>
          <w:lang w:val="es-ES"/>
        </w:rPr>
        <w:t>31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613BEF">
        <w:rPr>
          <w:rFonts w:ascii="Arial" w:hAnsi="Arial" w:cs="Arial"/>
          <w:bCs/>
          <w:sz w:val="24"/>
          <w:szCs w:val="24"/>
          <w:lang w:val="es-ES"/>
        </w:rPr>
        <w:t>julio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del año en curso, se llevó a cabo la 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Vigésima </w:t>
      </w:r>
      <w:r w:rsidR="00613BEF">
        <w:rPr>
          <w:rFonts w:ascii="Arial" w:hAnsi="Arial" w:cs="Arial"/>
          <w:bCs/>
          <w:sz w:val="24"/>
          <w:szCs w:val="24"/>
          <w:lang w:val="es-ES"/>
        </w:rPr>
        <w:t>Séptima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Sesión </w:t>
      </w:r>
      <w:r w:rsidR="00AA3216" w:rsidRPr="009818FB">
        <w:rPr>
          <w:rFonts w:ascii="Arial" w:hAnsi="Arial" w:cs="Arial"/>
          <w:bCs/>
          <w:sz w:val="24"/>
          <w:szCs w:val="24"/>
          <w:lang w:val="es-ES"/>
        </w:rPr>
        <w:t>Extraordinaria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esta Comisión </w:t>
      </w:r>
      <w:r w:rsidR="00613BEF">
        <w:rPr>
          <w:rFonts w:ascii="Arial" w:hAnsi="Arial" w:cs="Arial"/>
          <w:bCs/>
          <w:sz w:val="24"/>
          <w:szCs w:val="24"/>
          <w:lang w:val="es-ES"/>
        </w:rPr>
        <w:t>E</w:t>
      </w:r>
      <w:r w:rsidR="003D5577">
        <w:rPr>
          <w:rFonts w:ascii="Arial" w:hAnsi="Arial" w:cs="Arial"/>
          <w:bCs/>
          <w:sz w:val="24"/>
          <w:szCs w:val="24"/>
          <w:lang w:val="es-ES"/>
        </w:rPr>
        <w:t>dilicia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227B78" w:rsidRPr="009818FB">
        <w:rPr>
          <w:rFonts w:ascii="Arial" w:hAnsi="Arial" w:cs="Arial"/>
          <w:bCs/>
          <w:sz w:val="24"/>
          <w:szCs w:val="24"/>
          <w:lang w:val="es-ES"/>
        </w:rPr>
        <w:t>aprobándose</w:t>
      </w:r>
      <w:r w:rsidR="00712FF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B141A">
        <w:rPr>
          <w:rFonts w:ascii="Arial" w:hAnsi="Arial" w:cs="Arial"/>
          <w:bCs/>
          <w:sz w:val="24"/>
          <w:szCs w:val="24"/>
          <w:lang w:val="es-ES"/>
        </w:rPr>
        <w:t xml:space="preserve">por </w:t>
      </w:r>
      <w:r w:rsidR="00613BEF">
        <w:rPr>
          <w:rFonts w:ascii="Arial" w:hAnsi="Arial" w:cs="Arial"/>
          <w:bCs/>
          <w:sz w:val="24"/>
          <w:szCs w:val="24"/>
          <w:lang w:val="es-ES"/>
        </w:rPr>
        <w:t>unanimidad de los presentes</w:t>
      </w:r>
      <w:r w:rsidR="007B141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52077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>l Techo Financiero propuesto por la Dirección de Obras Públicas, a</w:t>
      </w:r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D5577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3D5577" w:rsidRPr="009818FB">
        <w:rPr>
          <w:rFonts w:ascii="Arial" w:hAnsi="Arial" w:cs="Arial"/>
          <w:bCs/>
          <w:sz w:val="24"/>
          <w:szCs w:val="24"/>
          <w:lang w:val="es-ES"/>
        </w:rPr>
        <w:t>Obra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antes mencionada, por lo que se emite el presente Dictamen tomando en cuenta las siguientes</w:t>
      </w:r>
    </w:p>
    <w:p w14:paraId="55D18CBD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1120A0" w14:textId="77777777"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231D7E88" w14:textId="0A13C76B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</w:t>
      </w:r>
      <w:r w:rsidR="00D334B5">
        <w:rPr>
          <w:rFonts w:ascii="Arial" w:hAnsi="Arial" w:cs="Arial"/>
          <w:b/>
          <w:iCs/>
          <w:sz w:val="24"/>
          <w:szCs w:val="24"/>
          <w:lang w:val="es-ES"/>
        </w:rPr>
        <w:t xml:space="preserve">el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Techo Financiero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3D8BEA2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A34764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9FE8E7B" w14:textId="4D34B518" w:rsidR="00DC2AA4" w:rsidRPr="00510299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la obras publica antes mencionadas,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65ACF825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14:paraId="40E3A8B1" w14:textId="77777777" w:rsidR="00690A25" w:rsidRDefault="00690A25" w:rsidP="00510299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CB698F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2E9D9C4B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F81C122" w14:textId="236CE0C7" w:rsidR="007E3A6F" w:rsidRDefault="00DC2AA4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PRIMERA.-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D334B5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 w:rsidR="00CC0ACC">
        <w:rPr>
          <w:rFonts w:ascii="Arial" w:eastAsia="Calibri" w:hAnsi="Arial" w:cs="Arial"/>
          <w:sz w:val="24"/>
          <w:szCs w:val="24"/>
          <w:lang w:val="es-ES"/>
        </w:rPr>
        <w:t>es por</w:t>
      </w:r>
      <w:r w:rsidR="001807C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510299" w:rsidRPr="00510299">
        <w:rPr>
          <w:rFonts w:ascii="Arial" w:eastAsia="Times New Roman" w:hAnsi="Arial" w:cs="Arial"/>
          <w:sz w:val="24"/>
          <w:szCs w:val="24"/>
          <w:lang w:eastAsia="es-MX"/>
        </w:rPr>
        <w:t>$2’015,486.82(DOS MILLONES QUINCE MIL CUATROCIENTOS OCHENTA Y SEIS PESOS  82/100 M.N.)</w:t>
      </w:r>
      <w:r w:rsidR="0051029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lo que no excede el presupuesto asignado a este fondo económico, </w:t>
      </w:r>
      <w:r w:rsidR="00510299">
        <w:rPr>
          <w:rFonts w:ascii="Arial" w:eastAsia="Calibri" w:hAnsi="Arial" w:cs="Arial"/>
          <w:sz w:val="24"/>
          <w:szCs w:val="24"/>
          <w:lang w:val="es-ES"/>
        </w:rPr>
        <w:t>por lo que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</w:t>
      </w:r>
      <w:r w:rsidR="007E3A6F">
        <w:rPr>
          <w:rFonts w:ascii="Arial" w:hAnsi="Arial" w:cs="Arial"/>
          <w:bCs/>
          <w:sz w:val="24"/>
          <w:szCs w:val="24"/>
          <w:lang w:val="es-ES"/>
        </w:rPr>
        <w:t>no existe impedimento presupuestal ni técnico alguno para su aprobación.</w:t>
      </w:r>
    </w:p>
    <w:p w14:paraId="5FDB3806" w14:textId="77777777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780135FD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618115C2" w14:textId="7B790AA4" w:rsidR="00DC2AA4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D334B5">
        <w:rPr>
          <w:rFonts w:ascii="Arial" w:hAnsi="Arial" w:cs="Arial"/>
          <w:sz w:val="24"/>
          <w:szCs w:val="24"/>
          <w:lang w:val="es-ES"/>
        </w:rPr>
        <w:t>el Techo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 asignado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RP-0</w:t>
      </w:r>
      <w:r w:rsidR="003D5577">
        <w:rPr>
          <w:rFonts w:ascii="Arial" w:eastAsia="Calibri" w:hAnsi="Arial" w:cs="Arial"/>
          <w:b/>
          <w:sz w:val="24"/>
          <w:szCs w:val="24"/>
          <w:lang w:val="es-ES"/>
        </w:rPr>
        <w:t>2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</w:t>
      </w:r>
      <w:r w:rsidR="00227B78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, PROVENIENTE DE RECURSO PROPIO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p w14:paraId="0F5B223F" w14:textId="77777777" w:rsidR="00510299" w:rsidRPr="00690A25" w:rsidRDefault="00510299" w:rsidP="00690A25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lastRenderedPageBreak/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1E5AE2A0" w:rsidR="00690A25" w:rsidRPr="00D74678" w:rsidRDefault="003C1C79" w:rsidP="00DB45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27B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="00D334B5" w:rsidRPr="00227B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P-0</w:t>
            </w:r>
            <w:r w:rsidR="005102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="00D334B5" w:rsidRPr="00227B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 w:rsidR="003D55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D334B5"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510299" w:rsidRPr="00613BEF">
              <w:rPr>
                <w:rFonts w:ascii="Arial" w:eastAsia="Calibri" w:hAnsi="Arial" w:cs="Arial"/>
                <w:bCs/>
                <w:sz w:val="20"/>
                <w:szCs w:val="20"/>
              </w:rPr>
              <w:t>CONSTRUCCIÓN DE BASE Y EMPEDRADO CON HUELLAS DE RODAMIENTO, CONSTRUCCION DE REDES DE DRENAJE Y AGUA POTABLE Y CONSTRUCCIÓN DE BANQUETAS Y MACHUELOS EN LA CALLE ABRAHAM GONZÁLEZ ENTRE LA CALLE CARMEN</w:t>
            </w:r>
            <w:r w:rsidR="00510299" w:rsidRPr="00613BEF">
              <w:rPr>
                <w:rFonts w:eastAsia="Calibri" w:cs="Arial"/>
                <w:bCs/>
                <w:sz w:val="20"/>
                <w:szCs w:val="20"/>
              </w:rPr>
              <w:t xml:space="preserve"> </w:t>
            </w:r>
            <w:r w:rsidR="00510299" w:rsidRPr="00613BEF">
              <w:rPr>
                <w:rFonts w:ascii="Arial" w:eastAsia="Calibri" w:hAnsi="Arial" w:cs="Arial"/>
                <w:bCs/>
                <w:sz w:val="20"/>
                <w:szCs w:val="20"/>
              </w:rPr>
              <w:t>SERDÁN Y LA CALLE PROL. HEROICO COLEGIO MILITAR, EN LA COLONIA REVOLUCIÓN EN CIUDAD GUZMÁN, MUNICIPIO DE ZAPOTLÁN EL GRANDE, JALISCO</w:t>
            </w:r>
          </w:p>
        </w:tc>
        <w:tc>
          <w:tcPr>
            <w:tcW w:w="3686" w:type="dxa"/>
          </w:tcPr>
          <w:p w14:paraId="1BB95D42" w14:textId="62834856" w:rsidR="00690A25" w:rsidRPr="00D74678" w:rsidRDefault="00510299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1029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$2’015,486.82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(DOS MILLONES QUINCE MIL CUATROCIENTOS OCHENTA Y SEIS PESOS  82/100 M.N.)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7328E69" w14:textId="1F42E487" w:rsidR="00DC2AA4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>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Síndico Municipal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 Suplente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al Encargado del Despacho de la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Direc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>ción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General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3F192271" w14:textId="77777777" w:rsidR="00CA6A0B" w:rsidRPr="00745BCC" w:rsidRDefault="00CA6A0B" w:rsidP="00CA6A0B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24B10D5" w14:textId="77777777" w:rsidR="00CA6A0B" w:rsidRPr="00745BCC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54D195AB" w14:textId="77777777" w:rsidR="00CA6A0B" w:rsidRPr="00745BCC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0767963E" w14:textId="77777777" w:rsidR="00CA6A0B" w:rsidRPr="00745BCC" w:rsidRDefault="00CA6A0B" w:rsidP="00CA6A0B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2BFB8930" w14:textId="77777777" w:rsidR="00CA6A0B" w:rsidRDefault="00CA6A0B" w:rsidP="00CA6A0B">
      <w:pPr>
        <w:spacing w:after="0"/>
        <w:rPr>
          <w:rFonts w:ascii="Arial" w:hAnsi="Arial" w:cs="Arial"/>
          <w:b/>
          <w:szCs w:val="24"/>
          <w:lang w:val="es-ES"/>
        </w:rPr>
      </w:pPr>
    </w:p>
    <w:p w14:paraId="74D8BAB0" w14:textId="77777777" w:rsidR="00CA6A0B" w:rsidRDefault="00CA6A0B" w:rsidP="00CA6A0B">
      <w:pPr>
        <w:spacing w:after="0"/>
        <w:rPr>
          <w:rFonts w:ascii="Arial" w:hAnsi="Arial" w:cs="Arial"/>
          <w:b/>
          <w:szCs w:val="24"/>
          <w:lang w:val="es-ES"/>
        </w:rPr>
      </w:pPr>
    </w:p>
    <w:p w14:paraId="6BCAC6E8" w14:textId="77777777" w:rsidR="00CA6A0B" w:rsidRPr="005B4F9A" w:rsidRDefault="00CA6A0B" w:rsidP="00CA6A0B">
      <w:pPr>
        <w:spacing w:after="0"/>
        <w:rPr>
          <w:rFonts w:ascii="Arial" w:hAnsi="Arial" w:cs="Arial"/>
          <w:b/>
          <w:sz w:val="20"/>
          <w:lang w:val="es-ES"/>
        </w:rPr>
      </w:pPr>
    </w:p>
    <w:p w14:paraId="5D3DB5A1" w14:textId="77777777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632333A6" w14:textId="77777777" w:rsidR="00510299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 w:rsidR="00510299">
        <w:rPr>
          <w:rFonts w:ascii="Arial" w:hAnsi="Arial" w:cs="Arial"/>
          <w:b/>
          <w:sz w:val="20"/>
          <w:lang w:val="es-ES"/>
        </w:rPr>
        <w:t>YURITZI ALEJANDRA HERMOSILLO TEJEDA</w:t>
      </w:r>
    </w:p>
    <w:p w14:paraId="236DCB5D" w14:textId="2E8654AE" w:rsidR="00CA6A0B" w:rsidRPr="005B4F9A" w:rsidRDefault="00993AD3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EDIL SUPLENTE</w:t>
      </w:r>
      <w:r w:rsidR="00510299">
        <w:rPr>
          <w:rFonts w:ascii="Arial" w:hAnsi="Arial" w:cs="Arial"/>
          <w:b/>
          <w:sz w:val="20"/>
          <w:lang w:val="es-ES"/>
        </w:rPr>
        <w:t xml:space="preserve"> DEL</w:t>
      </w:r>
      <w:r w:rsidR="00CA6A0B">
        <w:rPr>
          <w:rFonts w:ascii="Arial" w:hAnsi="Arial" w:cs="Arial"/>
          <w:b/>
          <w:sz w:val="20"/>
          <w:lang w:val="es-ES"/>
        </w:rPr>
        <w:t xml:space="preserve"> </w:t>
      </w:r>
    </w:p>
    <w:p w14:paraId="461F7B83" w14:textId="39CA2D73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34C544C0" w14:textId="77777777" w:rsidR="00CA6A0B" w:rsidRPr="005B4F9A" w:rsidRDefault="00CA6A0B" w:rsidP="007B141A">
      <w:pPr>
        <w:spacing w:after="0"/>
        <w:rPr>
          <w:rFonts w:ascii="Arial" w:hAnsi="Arial" w:cs="Arial"/>
          <w:b/>
          <w:sz w:val="20"/>
          <w:lang w:val="es-ES"/>
        </w:rPr>
      </w:pPr>
    </w:p>
    <w:p w14:paraId="59B28FA2" w14:textId="77777777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CA6A0B" w:rsidRPr="005B4F9A" w14:paraId="5370D2C0" w14:textId="77777777" w:rsidTr="001C6B1D">
        <w:tc>
          <w:tcPr>
            <w:tcW w:w="4827" w:type="dxa"/>
          </w:tcPr>
          <w:p w14:paraId="323D133E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C17FFBF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6FBB3480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7BDA04EA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75FB6CEE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498EE444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9D7DDA6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95ECDB8" w14:textId="21FF686C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 w:rsidR="00510299">
              <w:rPr>
                <w:rFonts w:ascii="Arial" w:eastAsia="Calibri" w:hAnsi="Arial" w:cs="Arial"/>
                <w:b/>
                <w:sz w:val="20"/>
              </w:rPr>
              <w:t>MAGALI CASILLAS CONTRERA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14:paraId="0506F054" w14:textId="5E55C409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763E69E1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2E5767A1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670C3FF9" w14:textId="6614E718" w:rsidR="007B141A" w:rsidRDefault="007B141A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5182CB86" w14:textId="77777777" w:rsidR="007B141A" w:rsidRDefault="007B141A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4FAED269" w14:textId="77777777" w:rsidR="00D74678" w:rsidRPr="00D334B5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541AC91D" w14:textId="2659B5D2" w:rsidR="00D334B5" w:rsidRPr="00690A25" w:rsidRDefault="006C08E6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lastRenderedPageBreak/>
        <w:t>YAHT</w:t>
      </w:r>
      <w:r w:rsidR="00CA6A0B">
        <w:rPr>
          <w:rFonts w:ascii="Arial" w:hAnsi="Arial" w:cs="Arial"/>
          <w:sz w:val="16"/>
          <w:szCs w:val="24"/>
        </w:rPr>
        <w:t>/</w:t>
      </w:r>
      <w:r w:rsidR="00D334B5">
        <w:rPr>
          <w:rFonts w:ascii="Arial" w:hAnsi="Arial" w:cs="Arial"/>
          <w:sz w:val="16"/>
          <w:szCs w:val="24"/>
        </w:rPr>
        <w:t>vso</w:t>
      </w:r>
    </w:p>
    <w:sectPr w:rsidR="00D334B5" w:rsidRPr="00690A25" w:rsidSect="00556D9A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4636" w14:textId="77777777" w:rsidR="00540F4B" w:rsidRDefault="00540F4B">
      <w:pPr>
        <w:spacing w:after="0" w:line="240" w:lineRule="auto"/>
      </w:pPr>
      <w:r>
        <w:separator/>
      </w:r>
    </w:p>
  </w:endnote>
  <w:endnote w:type="continuationSeparator" w:id="0">
    <w:p w14:paraId="2AC07086" w14:textId="77777777" w:rsidR="00540F4B" w:rsidRDefault="0054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AAA1C" w14:textId="77777777" w:rsidR="00540F4B" w:rsidRDefault="00540F4B">
      <w:pPr>
        <w:spacing w:after="0" w:line="240" w:lineRule="auto"/>
      </w:pPr>
      <w:r>
        <w:separator/>
      </w:r>
    </w:p>
  </w:footnote>
  <w:footnote w:type="continuationSeparator" w:id="0">
    <w:p w14:paraId="66173CF5" w14:textId="77777777" w:rsidR="00540F4B" w:rsidRDefault="0054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AB89" w14:textId="3A80D11A" w:rsidR="00C4453C" w:rsidRDefault="00CA6A0B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B8045" wp14:editId="250C12F3">
          <wp:simplePos x="0" y="0"/>
          <wp:positionH relativeFrom="margin">
            <wp:posOffset>3110865</wp:posOffset>
          </wp:positionH>
          <wp:positionV relativeFrom="paragraph">
            <wp:posOffset>-173990</wp:posOffset>
          </wp:positionV>
          <wp:extent cx="2419350" cy="1109345"/>
          <wp:effectExtent l="0" t="0" r="0" b="0"/>
          <wp:wrapNone/>
          <wp:docPr id="273973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4445CB31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A25">
      <w:rPr>
        <w:noProof/>
        <w:lang w:eastAsia="es-MX"/>
      </w:rPr>
      <w:drawing>
        <wp:inline distT="0" distB="0" distL="0" distR="0" wp14:anchorId="55C9E89F" wp14:editId="3DEDEE09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40E48"/>
    <w:rsid w:val="00164DE8"/>
    <w:rsid w:val="0017448F"/>
    <w:rsid w:val="001807C6"/>
    <w:rsid w:val="00206E0D"/>
    <w:rsid w:val="00227B78"/>
    <w:rsid w:val="00254C13"/>
    <w:rsid w:val="002747FB"/>
    <w:rsid w:val="002B3B96"/>
    <w:rsid w:val="002D762C"/>
    <w:rsid w:val="002F26E9"/>
    <w:rsid w:val="0032011D"/>
    <w:rsid w:val="003736F8"/>
    <w:rsid w:val="00382572"/>
    <w:rsid w:val="003C1C79"/>
    <w:rsid w:val="003D5577"/>
    <w:rsid w:val="00452077"/>
    <w:rsid w:val="00474357"/>
    <w:rsid w:val="00501060"/>
    <w:rsid w:val="00510299"/>
    <w:rsid w:val="00540F4B"/>
    <w:rsid w:val="00556D9A"/>
    <w:rsid w:val="00613BEF"/>
    <w:rsid w:val="00690A25"/>
    <w:rsid w:val="006A3870"/>
    <w:rsid w:val="006C08E6"/>
    <w:rsid w:val="00712FFC"/>
    <w:rsid w:val="0074014C"/>
    <w:rsid w:val="007B141A"/>
    <w:rsid w:val="007E3A6F"/>
    <w:rsid w:val="008229FD"/>
    <w:rsid w:val="00842E32"/>
    <w:rsid w:val="009473C8"/>
    <w:rsid w:val="00993AD3"/>
    <w:rsid w:val="009F71AC"/>
    <w:rsid w:val="00AA3216"/>
    <w:rsid w:val="00AA4171"/>
    <w:rsid w:val="00B02DC5"/>
    <w:rsid w:val="00B753A7"/>
    <w:rsid w:val="00C202D5"/>
    <w:rsid w:val="00C4453C"/>
    <w:rsid w:val="00CA0A31"/>
    <w:rsid w:val="00CA6A0B"/>
    <w:rsid w:val="00CC0ACC"/>
    <w:rsid w:val="00D334B5"/>
    <w:rsid w:val="00D51783"/>
    <w:rsid w:val="00D74678"/>
    <w:rsid w:val="00DC2AA4"/>
    <w:rsid w:val="00E42A21"/>
    <w:rsid w:val="00EA1CCA"/>
    <w:rsid w:val="00F60585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5</cp:revision>
  <cp:lastPrinted>2024-05-07T16:47:00Z</cp:lastPrinted>
  <dcterms:created xsi:type="dcterms:W3CDTF">2024-07-31T23:36:00Z</dcterms:created>
  <dcterms:modified xsi:type="dcterms:W3CDTF">2024-08-01T16:52:00Z</dcterms:modified>
</cp:coreProperties>
</file>