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8056" w14:textId="77777777" w:rsidR="00D707BC" w:rsidRDefault="00D707BC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1AAF880F" w14:textId="5FD954CF" w:rsidR="00E325EA" w:rsidRPr="00FD7AC0" w:rsidRDefault="00E325EA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D7AC0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 MUNICIPAL</w:t>
      </w:r>
    </w:p>
    <w:p w14:paraId="7BD16CF9" w14:textId="77777777" w:rsidR="00D707BC" w:rsidRDefault="00D707BC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5B0364D0" w14:textId="622335BD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ORDEN DEL DÍA</w:t>
      </w:r>
    </w:p>
    <w:p w14:paraId="2C3F76B3" w14:textId="77777777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8</w:t>
      </w:r>
      <w:r w:rsidRPr="00FD7AC0">
        <w:rPr>
          <w:rFonts w:asciiTheme="majorHAnsi" w:hAnsiTheme="majorHAnsi" w:cstheme="majorHAnsi"/>
          <w:b/>
        </w:rPr>
        <w:t>a. Sesión Ordinaria</w:t>
      </w:r>
    </w:p>
    <w:p w14:paraId="19B98387" w14:textId="77777777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77777777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Jueves 26 de enero</w:t>
      </w:r>
      <w:r w:rsidRPr="00FD7AC0">
        <w:rPr>
          <w:rFonts w:asciiTheme="majorHAnsi" w:hAnsiTheme="majorHAnsi" w:cstheme="majorHAnsi"/>
          <w:b/>
        </w:rPr>
        <w:t xml:space="preserve"> de 202</w:t>
      </w:r>
      <w:r>
        <w:rPr>
          <w:rFonts w:asciiTheme="majorHAnsi" w:hAnsiTheme="majorHAnsi" w:cstheme="majorHAnsi"/>
          <w:b/>
        </w:rPr>
        <w:t>3</w:t>
      </w:r>
      <w:r w:rsidRPr="00FD7AC0">
        <w:rPr>
          <w:rFonts w:asciiTheme="majorHAnsi" w:hAnsiTheme="majorHAnsi" w:cstheme="majorHAnsi"/>
          <w:b/>
        </w:rPr>
        <w:t xml:space="preserve"> 1</w:t>
      </w:r>
      <w:r w:rsidR="00F22C78">
        <w:rPr>
          <w:rFonts w:asciiTheme="majorHAnsi" w:hAnsiTheme="majorHAnsi" w:cstheme="majorHAnsi"/>
          <w:b/>
        </w:rPr>
        <w:t>1:0</w:t>
      </w:r>
      <w:r w:rsidRPr="00FD7AC0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 xml:space="preserve"> am</w:t>
      </w:r>
      <w:r w:rsidRPr="00FD7AC0">
        <w:rPr>
          <w:rFonts w:asciiTheme="majorHAnsi" w:hAnsiTheme="majorHAnsi" w:cstheme="majorHAnsi"/>
          <w:b/>
        </w:rPr>
        <w:t xml:space="preserve"> </w:t>
      </w:r>
    </w:p>
    <w:p w14:paraId="3EB5F1E5" w14:textId="77777777" w:rsidR="00E325EA" w:rsidRDefault="00E325EA" w:rsidP="00E325EA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noProof/>
          <w:sz w:val="16"/>
          <w:szCs w:val="16"/>
          <w:lang w:val="es-ES_tradnl" w:eastAsia="es-ES"/>
        </w:rPr>
      </w:pPr>
    </w:p>
    <w:p w14:paraId="59AE2136" w14:textId="77777777" w:rsidR="00D707BC" w:rsidRPr="00FD7AC0" w:rsidRDefault="00D707BC" w:rsidP="00E325EA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noProof/>
          <w:sz w:val="16"/>
          <w:szCs w:val="16"/>
          <w:lang w:val="es-ES_tradnl" w:eastAsia="es-ES"/>
        </w:rPr>
      </w:pPr>
    </w:p>
    <w:p w14:paraId="650DAE23" w14:textId="77777777" w:rsidR="00E325EA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58DE6DA6" w14:textId="77777777" w:rsidR="00E325EA" w:rsidRDefault="00E325EA" w:rsidP="00E325EA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8215996" w14:textId="77777777" w:rsidR="00E325EA" w:rsidRPr="00D71C28" w:rsidRDefault="00E325EA" w:rsidP="00E325E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276B8FD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Sustitución del vocal miembro de esta comisión C. Alfonso Sánchez Bernal presidente de la Coparmex delegación Sur Jalisco.</w:t>
      </w:r>
    </w:p>
    <w:p w14:paraId="7FA3B885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14:paraId="46EAB4C3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35256CCA" w14:textId="77777777" w:rsidR="00E325EA" w:rsidRPr="00550895" w:rsidRDefault="00E325EA" w:rsidP="00E325EA">
      <w:pPr>
        <w:pStyle w:val="Prrafodelista"/>
        <w:rPr>
          <w:rFonts w:cstheme="minorHAnsi"/>
          <w:sz w:val="20"/>
        </w:rPr>
      </w:pPr>
    </w:p>
    <w:p w14:paraId="77CB53F3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14:paraId="4E6097EC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6AB1224E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14:paraId="287E07EB" w14:textId="77777777" w:rsidR="00E325EA" w:rsidRPr="00550895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06028656" w14:textId="77777777" w:rsidR="00E325EA" w:rsidRPr="00550895" w:rsidRDefault="00E325EA" w:rsidP="00E325EA">
      <w:pPr>
        <w:pStyle w:val="Prrafodelista"/>
        <w:rPr>
          <w:rFonts w:eastAsia="Times New Roman" w:cstheme="minorHAnsi"/>
          <w:sz w:val="20"/>
          <w:lang w:val="es-ES"/>
        </w:rPr>
      </w:pPr>
    </w:p>
    <w:p w14:paraId="29E83B0E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4D2E4933" w14:textId="77777777" w:rsidR="00E325EA" w:rsidRPr="00D71C28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GMZGDP-01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ARTICULOS DE PAPELERÍA PARA EL GOBIERNO DE ZAPOTLÁN EL GRANDE,</w:t>
      </w:r>
      <w:r w:rsidRPr="00D71C28">
        <w:rPr>
          <w:rFonts w:eastAsia="Times New Roman" w:cstheme="minorHAnsi"/>
          <w:sz w:val="20"/>
          <w:lang w:val="es-ES"/>
        </w:rPr>
        <w:t xml:space="preserve"> JALISCO”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3BAFD73" w14:textId="77777777" w:rsidR="00E325EA" w:rsidRPr="00D71C28" w:rsidRDefault="00E325EA" w:rsidP="00E325EA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3799E90A" w14:textId="77777777" w:rsidR="00E325EA" w:rsidRPr="00D71C28" w:rsidRDefault="00E325EA" w:rsidP="00E325EA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68DEA51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2D62FC6B" w14:textId="77777777" w:rsidR="00E325EA" w:rsidRPr="00D71C28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lang w:val="es-ES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GMZGDP-02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>MATERIAL DE LIMPIEZA PARA EL GOBIERNO DE ZAPOTLÁN EL GRANDE, JALISCO</w:t>
      </w:r>
      <w:r w:rsidRPr="00D71C28">
        <w:rPr>
          <w:rFonts w:eastAsia="Times New Roman" w:cstheme="minorHAnsi"/>
          <w:sz w:val="20"/>
          <w:lang w:val="es-ES"/>
        </w:rPr>
        <w:t>”</w:t>
      </w:r>
      <w:r>
        <w:rPr>
          <w:rFonts w:eastAsia="Times New Roman" w:cstheme="minorHAnsi"/>
          <w:sz w:val="20"/>
          <w:lang w:val="es-ES"/>
        </w:rPr>
        <w:t xml:space="preserve"> (fallo programado para el día 24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 xml:space="preserve">enero de 2023, diferida para el día 26 </w:t>
      </w:r>
      <w:r w:rsidRPr="00D71C28">
        <w:rPr>
          <w:rFonts w:eastAsia="Times New Roman" w:cstheme="minorHAnsi"/>
          <w:sz w:val="20"/>
          <w:lang w:val="es-ES"/>
        </w:rPr>
        <w:t xml:space="preserve">de </w:t>
      </w:r>
      <w:r>
        <w:rPr>
          <w:rFonts w:eastAsia="Times New Roman" w:cstheme="minorHAnsi"/>
          <w:sz w:val="20"/>
          <w:lang w:val="es-ES"/>
        </w:rPr>
        <w:t>enero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497A6A4A" w14:textId="77777777" w:rsidR="00E325EA" w:rsidRPr="00D71C28" w:rsidRDefault="00E325EA" w:rsidP="00E325EA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784C756B" w14:textId="77777777" w:rsidR="00E325EA" w:rsidRDefault="00E325EA" w:rsidP="00E325EA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 xml:space="preserve">Se levantará acta que servirá de constancia de la celebración del acto de presentación y apertura de las proposiciones, en la que se harán constar el importe de cada una de ellas; se señalará lugar, </w:t>
      </w:r>
      <w:r w:rsidRPr="00D71C28">
        <w:rPr>
          <w:rFonts w:eastAsia="Times New Roman" w:cstheme="minorHAnsi"/>
          <w:i/>
          <w:sz w:val="20"/>
        </w:rPr>
        <w:lastRenderedPageBreak/>
        <w:t>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841703A" w14:textId="77777777" w:rsidR="00E325EA" w:rsidRPr="00D71C28" w:rsidRDefault="00E325EA" w:rsidP="00E325EA">
      <w:pPr>
        <w:pStyle w:val="Prrafodelista"/>
        <w:jc w:val="center"/>
        <w:rPr>
          <w:rFonts w:eastAsia="Times New Roman" w:cstheme="minorHAnsi"/>
          <w:i/>
          <w:sz w:val="20"/>
        </w:rPr>
      </w:pPr>
    </w:p>
    <w:p w14:paraId="717B1957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 xml:space="preserve">Aprobación de </w:t>
      </w:r>
      <w:proofErr w:type="spellStart"/>
      <w:r>
        <w:rPr>
          <w:rFonts w:eastAsia="Times New Roman" w:cstheme="minorHAnsi"/>
          <w:sz w:val="20"/>
          <w:lang w:val="es-ES"/>
        </w:rPr>
        <w:t>D</w:t>
      </w:r>
      <w:r w:rsidRPr="00D71C28">
        <w:rPr>
          <w:rFonts w:eastAsia="Times New Roman" w:cstheme="minorHAnsi"/>
          <w:sz w:val="20"/>
          <w:lang w:val="es-ES"/>
        </w:rPr>
        <w:t>ictamen</w:t>
      </w:r>
      <w:r>
        <w:rPr>
          <w:rFonts w:eastAsia="Times New Roman" w:cstheme="minorHAnsi"/>
          <w:sz w:val="20"/>
          <w:lang w:val="es-ES"/>
        </w:rPr>
        <w:t>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el festival “QUE BONITA ES MI TIERRA” en homenaje a Rubén Fuentes, solicitados por la jefatura de cultura.</w:t>
      </w:r>
    </w:p>
    <w:p w14:paraId="1A880842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6FB183F2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Solicitud de adquisición de servicio de Levantamiento Aero Fotogramétrico para una superficie denominada “La Mesa” solicitado por la Dirección General de Gestión de la Ciudad”</w:t>
      </w:r>
      <w:r w:rsidRPr="00D71C28">
        <w:rPr>
          <w:rFonts w:eastAsia="Times New Roman" w:cstheme="minorHAnsi"/>
          <w:sz w:val="20"/>
          <w:lang w:val="es-ES"/>
        </w:rPr>
        <w:t>.</w:t>
      </w:r>
    </w:p>
    <w:p w14:paraId="081FCF0F" w14:textId="77777777" w:rsidR="00E325EA" w:rsidRPr="004830AA" w:rsidRDefault="00E325EA" w:rsidP="00E325EA">
      <w:pPr>
        <w:pStyle w:val="Prrafodelista"/>
        <w:rPr>
          <w:rFonts w:eastAsia="Times New Roman" w:cstheme="minorHAnsi"/>
          <w:sz w:val="20"/>
          <w:lang w:val="es-ES"/>
        </w:rPr>
      </w:pPr>
    </w:p>
    <w:p w14:paraId="4757148B" w14:textId="77777777" w:rsidR="00E325EA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72BBE4C5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contratar los servicios de actualización, mantenimiento, asesoría, capacitación y soporte técnico de los sistemas informáticos EMPRESS.</w:t>
      </w:r>
    </w:p>
    <w:p w14:paraId="2D445653" w14:textId="77777777" w:rsidR="00E325EA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31B07243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Aprobación de dictamen de adjudicación directa para la adquisición de 3 obras gráficas impresas del pintor y muralista José Clemente Orozco, solicitado por la Jefatura de Cultura.</w:t>
      </w:r>
    </w:p>
    <w:p w14:paraId="591C5273" w14:textId="77777777" w:rsidR="00E325EA" w:rsidRPr="004830AA" w:rsidRDefault="00E325EA" w:rsidP="00E325EA">
      <w:pPr>
        <w:pStyle w:val="Prrafodelista"/>
        <w:rPr>
          <w:rFonts w:eastAsia="Times New Roman" w:cstheme="minorHAnsi"/>
          <w:sz w:val="20"/>
          <w:lang w:val="es-ES"/>
        </w:rPr>
      </w:pPr>
    </w:p>
    <w:p w14:paraId="2E93E503" w14:textId="77777777" w:rsidR="00E325EA" w:rsidRPr="00D71C28" w:rsidRDefault="00E325EA" w:rsidP="00E325EA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</w:p>
    <w:p w14:paraId="7AC578C1" w14:textId="77777777" w:rsidR="00E325EA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04B68E0F" w14:textId="77777777" w:rsidR="00E325EA" w:rsidRDefault="00E325EA" w:rsidP="00E325EA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14:paraId="6A74985C" w14:textId="77777777" w:rsidR="00E325EA" w:rsidRPr="00D71C28" w:rsidRDefault="00E325EA" w:rsidP="00E325EA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14:paraId="1605E322" w14:textId="77777777" w:rsidR="00E325EA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7AE73D6E" w14:textId="77777777" w:rsidR="00B12D94" w:rsidRDefault="00B12D94"/>
    <w:sectPr w:rsidR="00B12D94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034CC" w14:textId="77777777" w:rsidR="00F756FB" w:rsidRDefault="00F756FB">
      <w:r>
        <w:separator/>
      </w:r>
    </w:p>
  </w:endnote>
  <w:endnote w:type="continuationSeparator" w:id="0">
    <w:p w14:paraId="4A8997D1" w14:textId="77777777" w:rsidR="00F756FB" w:rsidRDefault="00F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D9A83" w14:textId="77777777" w:rsidR="00F756FB" w:rsidRDefault="00F756FB">
      <w:r>
        <w:separator/>
      </w:r>
    </w:p>
  </w:footnote>
  <w:footnote w:type="continuationSeparator" w:id="0">
    <w:p w14:paraId="697BF72F" w14:textId="77777777" w:rsidR="00F756FB" w:rsidRDefault="00F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000000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433A" w14:textId="0E8B94BE" w:rsidR="009463B4" w:rsidRDefault="009463B4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4.1pt;margin-top:-101.5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14:paraId="52B189D0" w14:textId="77777777" w:rsidR="009463B4" w:rsidRDefault="009463B4">
    <w:pPr>
      <w:pStyle w:val="Encabezado"/>
    </w:pPr>
  </w:p>
  <w:p w14:paraId="3D191849" w14:textId="77777777" w:rsidR="009463B4" w:rsidRDefault="009463B4">
    <w:pPr>
      <w:pStyle w:val="Encabezado"/>
    </w:pPr>
  </w:p>
  <w:p w14:paraId="14136BD2" w14:textId="0A919847" w:rsidR="00000000" w:rsidRDefault="00E325EA">
    <w:pPr>
      <w:pStyle w:val="Encabezado"/>
    </w:pP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34ECAE89" wp14:editId="5E58474C">
          <wp:simplePos x="0" y="0"/>
          <wp:positionH relativeFrom="margin">
            <wp:align>center</wp:align>
          </wp:positionH>
          <wp:positionV relativeFrom="paragraph">
            <wp:posOffset>1881199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000000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8C061F"/>
    <w:rsid w:val="009463B4"/>
    <w:rsid w:val="00B12D94"/>
    <w:rsid w:val="00B6715C"/>
    <w:rsid w:val="00D707BC"/>
    <w:rsid w:val="00E325EA"/>
    <w:rsid w:val="00E85C28"/>
    <w:rsid w:val="00F22C78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Nancy Jackeline Cayetano Torres</cp:lastModifiedBy>
  <cp:revision>4</cp:revision>
  <cp:lastPrinted>2023-01-26T15:51:00Z</cp:lastPrinted>
  <dcterms:created xsi:type="dcterms:W3CDTF">2023-01-26T15:14:00Z</dcterms:created>
  <dcterms:modified xsi:type="dcterms:W3CDTF">2024-08-27T19:11:00Z</dcterms:modified>
</cp:coreProperties>
</file>