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3A5AC" w14:textId="77777777" w:rsidR="003D5005" w:rsidRDefault="003D5005"/>
    <w:p w14:paraId="3EF579C8" w14:textId="77777777" w:rsidR="00EF273A" w:rsidRDefault="00EF273A"/>
    <w:p w14:paraId="44080F06" w14:textId="77777777" w:rsidR="00EF273A" w:rsidRDefault="00EF273A"/>
    <w:p w14:paraId="40D5D03B" w14:textId="77777777" w:rsidR="00EF273A" w:rsidRPr="004B4066" w:rsidRDefault="00EF273A" w:rsidP="00EF273A">
      <w:pPr>
        <w:spacing w:line="276" w:lineRule="auto"/>
        <w:jc w:val="both"/>
        <w:rPr>
          <w:rFonts w:cs="Arial"/>
          <w:b/>
          <w:sz w:val="24"/>
          <w:szCs w:val="24"/>
          <w:lang w:val="es-MX"/>
        </w:rPr>
      </w:pPr>
      <w:r w:rsidRPr="004B4066">
        <w:rPr>
          <w:rFonts w:cs="Arial"/>
          <w:b/>
          <w:sz w:val="24"/>
          <w:szCs w:val="24"/>
          <w:lang w:val="es-MX"/>
        </w:rPr>
        <w:t xml:space="preserve">MIEMBROS DEL HONORABLE AYUNTAMIENTO </w:t>
      </w:r>
    </w:p>
    <w:p w14:paraId="65A243F8" w14:textId="77777777" w:rsidR="00EF273A" w:rsidRPr="004B4066" w:rsidRDefault="00EF273A" w:rsidP="00EF273A">
      <w:pPr>
        <w:spacing w:line="276" w:lineRule="auto"/>
        <w:jc w:val="both"/>
        <w:rPr>
          <w:rFonts w:cs="Arial"/>
          <w:b/>
          <w:sz w:val="24"/>
          <w:szCs w:val="24"/>
          <w:lang w:val="es-MX"/>
        </w:rPr>
      </w:pPr>
      <w:r w:rsidRPr="004B4066">
        <w:rPr>
          <w:rFonts w:cs="Arial"/>
          <w:b/>
          <w:sz w:val="24"/>
          <w:szCs w:val="24"/>
          <w:lang w:val="es-MX"/>
        </w:rPr>
        <w:t>DE ZAPOTLÁN EL GRANDE, JALISCO.</w:t>
      </w:r>
    </w:p>
    <w:p w14:paraId="1D166773" w14:textId="77777777" w:rsidR="00EF273A" w:rsidRPr="004B4066" w:rsidRDefault="00EF273A" w:rsidP="00EF273A">
      <w:pPr>
        <w:spacing w:line="276" w:lineRule="auto"/>
        <w:jc w:val="both"/>
        <w:rPr>
          <w:rFonts w:cs="Arial"/>
          <w:b/>
          <w:sz w:val="24"/>
          <w:szCs w:val="24"/>
          <w:lang w:val="es-MX"/>
        </w:rPr>
      </w:pPr>
      <w:r w:rsidRPr="004B4066">
        <w:rPr>
          <w:rFonts w:cs="Arial"/>
          <w:b/>
          <w:sz w:val="24"/>
          <w:szCs w:val="24"/>
          <w:lang w:val="es-MX"/>
        </w:rPr>
        <w:t>P R E S E N T E.</w:t>
      </w:r>
    </w:p>
    <w:p w14:paraId="7F8B5EE5" w14:textId="77777777" w:rsidR="00EF273A" w:rsidRPr="004B4066" w:rsidRDefault="00EF273A" w:rsidP="00EF273A">
      <w:pPr>
        <w:spacing w:line="276" w:lineRule="auto"/>
        <w:ind w:firstLine="708"/>
        <w:jc w:val="both"/>
        <w:rPr>
          <w:rFonts w:cs="Arial"/>
          <w:b/>
          <w:sz w:val="24"/>
          <w:szCs w:val="24"/>
          <w:lang w:val="es-MX"/>
        </w:rPr>
      </w:pPr>
    </w:p>
    <w:p w14:paraId="20C47945" w14:textId="77777777" w:rsidR="00EF273A" w:rsidRPr="004B4066" w:rsidRDefault="00EF273A" w:rsidP="00EF273A">
      <w:pPr>
        <w:spacing w:line="276" w:lineRule="auto"/>
        <w:ind w:firstLine="708"/>
        <w:jc w:val="both"/>
        <w:rPr>
          <w:rFonts w:cs="Arial"/>
          <w:b/>
          <w:sz w:val="24"/>
          <w:szCs w:val="24"/>
          <w:lang w:val="es-MX"/>
        </w:rPr>
      </w:pPr>
    </w:p>
    <w:p w14:paraId="2C6D0C22" w14:textId="1EC9569B" w:rsidR="00EF273A" w:rsidRPr="004B4066" w:rsidRDefault="00EF273A" w:rsidP="00EF273A">
      <w:pPr>
        <w:autoSpaceDE w:val="0"/>
        <w:autoSpaceDN w:val="0"/>
        <w:adjustRightInd w:val="0"/>
        <w:spacing w:line="276" w:lineRule="auto"/>
        <w:ind w:firstLine="708"/>
        <w:jc w:val="both"/>
        <w:rPr>
          <w:rFonts w:cs="Arial"/>
          <w:bCs/>
          <w:sz w:val="24"/>
          <w:szCs w:val="24"/>
          <w:lang w:val="es-MX"/>
        </w:rPr>
      </w:pPr>
      <w:r>
        <w:rPr>
          <w:rFonts w:cs="Arial"/>
          <w:sz w:val="24"/>
          <w:szCs w:val="24"/>
          <w:lang w:val="es-MX"/>
        </w:rPr>
        <w:t>El</w:t>
      </w:r>
      <w:r w:rsidRPr="004B4066">
        <w:rPr>
          <w:rFonts w:cs="Arial"/>
          <w:sz w:val="24"/>
          <w:szCs w:val="24"/>
          <w:lang w:val="es-MX"/>
        </w:rPr>
        <w:t xml:space="preserve"> que suscribe </w:t>
      </w:r>
      <w:r w:rsidRPr="004B4066">
        <w:rPr>
          <w:rFonts w:cs="Arial"/>
          <w:b/>
          <w:sz w:val="24"/>
          <w:szCs w:val="24"/>
          <w:lang w:val="es-MX"/>
        </w:rPr>
        <w:t xml:space="preserve">LIC. </w:t>
      </w:r>
      <w:r>
        <w:rPr>
          <w:rFonts w:cs="Arial"/>
          <w:b/>
          <w:sz w:val="24"/>
          <w:szCs w:val="24"/>
          <w:lang w:val="es-MX"/>
        </w:rPr>
        <w:t>OSCAR MURGUÍA TORRES</w:t>
      </w:r>
      <w:r w:rsidRPr="004B4066">
        <w:rPr>
          <w:rFonts w:cs="Arial"/>
          <w:b/>
          <w:sz w:val="24"/>
          <w:szCs w:val="24"/>
          <w:lang w:val="es-MX"/>
        </w:rPr>
        <w:t xml:space="preserve">, </w:t>
      </w:r>
      <w:r w:rsidRPr="004B4066">
        <w:rPr>
          <w:rFonts w:cs="Arial"/>
          <w:sz w:val="24"/>
          <w:szCs w:val="24"/>
          <w:lang w:val="es-MX"/>
        </w:rPr>
        <w:t xml:space="preserve">en mi calidad de Regidor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IV, 87 fracción II, 89, 93, 99, 100 y demás relativos del Reglamento Interior de Zapotlán el Grande, Jalisco; en uso de la facultad conferida en las disposiciones citadas, presento ante ustedes compañeros integrantes de este Órgano de Gobierno Municipal la siguiente </w:t>
      </w:r>
      <w:r w:rsidRPr="004B4066">
        <w:rPr>
          <w:rFonts w:cs="Arial"/>
          <w:b/>
          <w:sz w:val="24"/>
          <w:szCs w:val="24"/>
          <w:lang w:val="es-MX"/>
        </w:rPr>
        <w:t>INICIATIVA DE ORDENAMIENTO</w:t>
      </w:r>
      <w:r w:rsidR="003B3009">
        <w:rPr>
          <w:rFonts w:cs="Arial"/>
          <w:b/>
          <w:sz w:val="24"/>
          <w:szCs w:val="24"/>
          <w:lang w:val="es-MX"/>
        </w:rPr>
        <w:t xml:space="preserve"> MUNICIPAL</w:t>
      </w:r>
      <w:r w:rsidRPr="004B4066">
        <w:rPr>
          <w:rFonts w:cs="Arial"/>
          <w:b/>
          <w:sz w:val="24"/>
          <w:szCs w:val="24"/>
          <w:lang w:val="es-MX"/>
        </w:rPr>
        <w:t xml:space="preserve"> </w:t>
      </w:r>
      <w:r>
        <w:rPr>
          <w:rFonts w:cs="Arial"/>
          <w:b/>
          <w:sz w:val="24"/>
          <w:szCs w:val="24"/>
          <w:lang w:val="es-MX"/>
        </w:rPr>
        <w:t>QUE REFORMA EL ARTÍCULO 129 DEL REGLAMENTO INTERIOR DEL AYUNTAMIENTO DE ZAPOTLÁN EL GRANDE</w:t>
      </w:r>
      <w:r w:rsidRPr="004B4066">
        <w:rPr>
          <w:rFonts w:cs="Arial"/>
          <w:b/>
          <w:sz w:val="24"/>
          <w:szCs w:val="24"/>
          <w:lang w:val="es-MX"/>
        </w:rPr>
        <w:t>,</w:t>
      </w:r>
      <w:r>
        <w:rPr>
          <w:rFonts w:cs="Arial"/>
          <w:b/>
          <w:sz w:val="24"/>
          <w:szCs w:val="24"/>
          <w:lang w:val="es-MX"/>
        </w:rPr>
        <w:t xml:space="preserve"> JALISCO,</w:t>
      </w:r>
      <w:r w:rsidRPr="004B4066">
        <w:rPr>
          <w:rFonts w:cs="Arial"/>
          <w:sz w:val="24"/>
          <w:szCs w:val="24"/>
          <w:lang w:val="es-MX"/>
        </w:rPr>
        <w:t xml:space="preserve"> </w:t>
      </w:r>
      <w:r w:rsidRPr="004B4066">
        <w:rPr>
          <w:rFonts w:cs="Arial"/>
          <w:bCs/>
          <w:sz w:val="24"/>
          <w:szCs w:val="24"/>
          <w:lang w:val="es-MX"/>
        </w:rPr>
        <w:t xml:space="preserve">de conformidad con la siguiente: </w:t>
      </w:r>
    </w:p>
    <w:p w14:paraId="6E773370" w14:textId="77777777" w:rsidR="00EF273A" w:rsidRPr="004B4066" w:rsidRDefault="00EF273A" w:rsidP="00EF273A">
      <w:pPr>
        <w:autoSpaceDE w:val="0"/>
        <w:autoSpaceDN w:val="0"/>
        <w:adjustRightInd w:val="0"/>
        <w:spacing w:line="276" w:lineRule="auto"/>
        <w:ind w:firstLine="708"/>
        <w:jc w:val="both"/>
        <w:rPr>
          <w:rFonts w:cs="Arial"/>
          <w:bCs/>
          <w:sz w:val="24"/>
          <w:szCs w:val="24"/>
          <w:lang w:val="es-MX"/>
        </w:rPr>
      </w:pPr>
    </w:p>
    <w:p w14:paraId="6DFD4DA4" w14:textId="77777777" w:rsidR="00EF273A" w:rsidRPr="004B4066" w:rsidRDefault="00EF273A" w:rsidP="00EF273A">
      <w:pPr>
        <w:spacing w:line="276" w:lineRule="auto"/>
        <w:jc w:val="center"/>
        <w:rPr>
          <w:rFonts w:cs="Arial"/>
          <w:b/>
          <w:sz w:val="24"/>
          <w:szCs w:val="24"/>
          <w:lang w:val="es-MX"/>
        </w:rPr>
      </w:pPr>
    </w:p>
    <w:p w14:paraId="29987375" w14:textId="77777777" w:rsidR="00EF273A" w:rsidRPr="004B4066" w:rsidRDefault="00EF273A" w:rsidP="00EF273A">
      <w:pPr>
        <w:spacing w:line="276" w:lineRule="auto"/>
        <w:jc w:val="center"/>
        <w:rPr>
          <w:rFonts w:cs="Arial"/>
          <w:b/>
          <w:sz w:val="24"/>
          <w:szCs w:val="24"/>
          <w:lang w:val="es-MX"/>
        </w:rPr>
      </w:pPr>
      <w:r w:rsidRPr="004B4066">
        <w:rPr>
          <w:rFonts w:cs="Arial"/>
          <w:b/>
          <w:sz w:val="24"/>
          <w:szCs w:val="24"/>
          <w:lang w:val="es-MX"/>
        </w:rPr>
        <w:t>EXPOSICIÓN DE MOTIVOS</w:t>
      </w:r>
    </w:p>
    <w:p w14:paraId="5892121D" w14:textId="77777777" w:rsidR="00EF273A" w:rsidRPr="004B4066" w:rsidRDefault="00EF273A" w:rsidP="00EF273A">
      <w:pPr>
        <w:spacing w:line="276" w:lineRule="auto"/>
        <w:jc w:val="center"/>
        <w:rPr>
          <w:rFonts w:cs="Arial"/>
          <w:b/>
          <w:sz w:val="24"/>
          <w:szCs w:val="24"/>
          <w:lang w:val="es-MX"/>
        </w:rPr>
      </w:pPr>
    </w:p>
    <w:p w14:paraId="76CDCEBB" w14:textId="77777777" w:rsidR="00EF273A" w:rsidRPr="004B4066" w:rsidRDefault="00EF273A" w:rsidP="00EF273A">
      <w:pPr>
        <w:spacing w:line="276" w:lineRule="auto"/>
        <w:ind w:firstLine="708"/>
        <w:jc w:val="both"/>
        <w:rPr>
          <w:rFonts w:cs="Arial"/>
          <w:color w:val="000000"/>
          <w:sz w:val="24"/>
          <w:szCs w:val="24"/>
          <w:lang w:val="es-MX" w:eastAsia="es-MX"/>
        </w:rPr>
      </w:pPr>
      <w:r w:rsidRPr="004B4066">
        <w:rPr>
          <w:rFonts w:cs="Arial"/>
          <w:b/>
          <w:sz w:val="24"/>
          <w:szCs w:val="24"/>
          <w:lang w:val="es-MX"/>
        </w:rPr>
        <w:t>I.-</w:t>
      </w:r>
      <w:r w:rsidRPr="004B4066">
        <w:rPr>
          <w:rFonts w:cs="Arial"/>
          <w:sz w:val="24"/>
          <w:szCs w:val="24"/>
          <w:lang w:val="es-MX"/>
        </w:rPr>
        <w:t xml:space="preserve"> Que de conformidad al artículo 115 de la Constitución Política de los Estados Unidos Mexicanos, que establece  que l</w:t>
      </w:r>
      <w:r w:rsidRPr="004B4066">
        <w:rPr>
          <w:rFonts w:cs="Arial"/>
          <w:sz w:val="24"/>
          <w:szCs w:val="24"/>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4B4066">
        <w:rPr>
          <w:rFonts w:cs="Arial"/>
          <w:color w:val="000000"/>
          <w:sz w:val="24"/>
          <w:szCs w:val="24"/>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5080C0DC" w14:textId="77777777" w:rsidR="00EF273A" w:rsidRPr="004B4066" w:rsidRDefault="00EF273A" w:rsidP="00EF273A">
      <w:pPr>
        <w:spacing w:line="276" w:lineRule="auto"/>
        <w:jc w:val="both"/>
        <w:rPr>
          <w:rFonts w:cs="Arial"/>
          <w:color w:val="000000"/>
          <w:sz w:val="24"/>
          <w:szCs w:val="24"/>
          <w:lang w:val="es-MX" w:eastAsia="es-MX"/>
        </w:rPr>
      </w:pPr>
    </w:p>
    <w:p w14:paraId="7673AB89" w14:textId="77777777" w:rsidR="00EF273A" w:rsidRPr="004B4066" w:rsidRDefault="00EF273A" w:rsidP="00EF273A">
      <w:pPr>
        <w:spacing w:line="276" w:lineRule="auto"/>
        <w:jc w:val="both"/>
        <w:rPr>
          <w:rFonts w:cs="Arial"/>
          <w:color w:val="000000"/>
          <w:sz w:val="24"/>
          <w:szCs w:val="24"/>
          <w:lang w:val="es-MX" w:eastAsia="es-MX"/>
        </w:rPr>
      </w:pPr>
    </w:p>
    <w:p w14:paraId="4E888B06" w14:textId="77777777" w:rsidR="00EF273A" w:rsidRPr="004B4066" w:rsidRDefault="00EF273A" w:rsidP="00EF273A">
      <w:pPr>
        <w:spacing w:line="276" w:lineRule="auto"/>
        <w:jc w:val="both"/>
        <w:rPr>
          <w:rFonts w:cs="Arial"/>
          <w:color w:val="000000"/>
          <w:sz w:val="24"/>
          <w:szCs w:val="24"/>
          <w:lang w:val="es-MX" w:eastAsia="es-MX"/>
        </w:rPr>
      </w:pPr>
    </w:p>
    <w:p w14:paraId="674A4084" w14:textId="77777777" w:rsidR="00EF273A" w:rsidRPr="004B4066" w:rsidRDefault="00EF273A" w:rsidP="00EF273A">
      <w:pPr>
        <w:spacing w:line="276" w:lineRule="auto"/>
        <w:jc w:val="both"/>
        <w:rPr>
          <w:rFonts w:cs="Arial"/>
          <w:color w:val="000000"/>
          <w:sz w:val="24"/>
          <w:szCs w:val="24"/>
          <w:lang w:val="es-MX" w:eastAsia="es-MX"/>
        </w:rPr>
      </w:pPr>
    </w:p>
    <w:p w14:paraId="2699F1E7" w14:textId="77777777" w:rsidR="00EF273A" w:rsidRPr="004B4066" w:rsidRDefault="00EF273A" w:rsidP="00EF273A">
      <w:pPr>
        <w:spacing w:line="276" w:lineRule="auto"/>
        <w:jc w:val="both"/>
        <w:rPr>
          <w:rFonts w:cs="Arial"/>
          <w:color w:val="000000"/>
          <w:sz w:val="24"/>
          <w:szCs w:val="24"/>
          <w:lang w:val="es-MX" w:eastAsia="es-MX"/>
        </w:rPr>
      </w:pPr>
    </w:p>
    <w:p w14:paraId="7AE1FE9C" w14:textId="77777777" w:rsidR="00EF273A" w:rsidRPr="004B4066" w:rsidRDefault="00EF273A" w:rsidP="00EF273A">
      <w:pPr>
        <w:spacing w:line="276" w:lineRule="auto"/>
        <w:ind w:firstLine="708"/>
        <w:jc w:val="both"/>
        <w:rPr>
          <w:rFonts w:cs="Arial"/>
          <w:b/>
          <w:color w:val="000000"/>
          <w:sz w:val="24"/>
          <w:szCs w:val="24"/>
          <w:lang w:val="es-MX" w:eastAsia="es-MX"/>
        </w:rPr>
      </w:pPr>
    </w:p>
    <w:p w14:paraId="4AF1A2C1" w14:textId="77777777" w:rsidR="00EF273A" w:rsidRPr="004B4066" w:rsidRDefault="00EF273A" w:rsidP="00EF273A">
      <w:pPr>
        <w:spacing w:line="276" w:lineRule="auto"/>
        <w:ind w:firstLine="708"/>
        <w:jc w:val="both"/>
        <w:rPr>
          <w:rFonts w:cs="Arial"/>
          <w:b/>
          <w:color w:val="000000"/>
          <w:sz w:val="24"/>
          <w:szCs w:val="24"/>
          <w:lang w:val="es-MX" w:eastAsia="es-MX"/>
        </w:rPr>
      </w:pPr>
    </w:p>
    <w:p w14:paraId="32FD9829" w14:textId="0D400E65" w:rsidR="00EF273A" w:rsidRPr="004B4066" w:rsidRDefault="00EF273A" w:rsidP="00EF273A">
      <w:pPr>
        <w:spacing w:line="276" w:lineRule="auto"/>
        <w:ind w:firstLine="708"/>
        <w:jc w:val="both"/>
        <w:rPr>
          <w:rFonts w:cs="Arial"/>
          <w:snapToGrid w:val="0"/>
          <w:sz w:val="24"/>
          <w:szCs w:val="24"/>
          <w:lang w:val="es-MX"/>
        </w:rPr>
      </w:pPr>
      <w:r w:rsidRPr="004B4066">
        <w:rPr>
          <w:rFonts w:cs="Arial"/>
          <w:b/>
          <w:color w:val="000000"/>
          <w:sz w:val="24"/>
          <w:szCs w:val="24"/>
          <w:lang w:val="es-MX" w:eastAsia="es-MX"/>
        </w:rPr>
        <w:t>II.-</w:t>
      </w:r>
      <w:r w:rsidRPr="004B4066">
        <w:rPr>
          <w:rFonts w:cs="Arial"/>
          <w:color w:val="000000"/>
          <w:sz w:val="24"/>
          <w:szCs w:val="24"/>
          <w:lang w:val="es-MX" w:eastAsia="es-MX"/>
        </w:rPr>
        <w:t xml:space="preserve"> </w:t>
      </w:r>
      <w:proofErr w:type="gramStart"/>
      <w:r w:rsidRPr="004B4066">
        <w:rPr>
          <w:rFonts w:cs="Arial"/>
          <w:color w:val="000000"/>
          <w:sz w:val="24"/>
          <w:szCs w:val="24"/>
          <w:lang w:val="es-MX" w:eastAsia="es-MX"/>
        </w:rPr>
        <w:t>Que</w:t>
      </w:r>
      <w:proofErr w:type="gramEnd"/>
      <w:r w:rsidRPr="004B4066">
        <w:rPr>
          <w:rFonts w:cs="Arial"/>
          <w:color w:val="000000"/>
          <w:sz w:val="24"/>
          <w:szCs w:val="24"/>
          <w:lang w:val="es-MX" w:eastAsia="es-MX"/>
        </w:rPr>
        <w:t xml:space="preserve"> conforme a lo establecido en la Constitución Política del Estado de Jalisco, en su artículo 77 reconoce e</w:t>
      </w:r>
      <w:r w:rsidRPr="004B4066">
        <w:rPr>
          <w:rFonts w:cs="Arial"/>
          <w:spacing w:val="-3"/>
          <w:sz w:val="24"/>
          <w:szCs w:val="24"/>
          <w:lang w:val="es-MX"/>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Pr="004B4066">
        <w:rPr>
          <w:rFonts w:cs="Arial"/>
          <w:bCs/>
          <w:sz w:val="24"/>
          <w:szCs w:val="24"/>
          <w:lang w:val="es-MX" w:eastAsia="es-MX"/>
        </w:rPr>
        <w:t xml:space="preserve">en la Ley de Gobierno y la Administración Pública del Estado de Jalisco se </w:t>
      </w:r>
      <w:r w:rsidRPr="004B4066">
        <w:rPr>
          <w:rFonts w:cs="Arial"/>
          <w:snapToGrid w:val="0"/>
          <w:sz w:val="24"/>
          <w:szCs w:val="24"/>
          <w:lang w:val="es-MX"/>
        </w:rPr>
        <w:t xml:space="preserve">establecen las bases generales de la Administración Pública Municipal. </w:t>
      </w:r>
    </w:p>
    <w:p w14:paraId="45C332C3" w14:textId="77777777" w:rsidR="00EF273A" w:rsidRPr="004B4066" w:rsidRDefault="00EF273A" w:rsidP="00EF273A">
      <w:pPr>
        <w:spacing w:line="276" w:lineRule="auto"/>
        <w:jc w:val="both"/>
        <w:rPr>
          <w:rFonts w:cs="Arial"/>
          <w:snapToGrid w:val="0"/>
          <w:sz w:val="24"/>
          <w:szCs w:val="24"/>
          <w:lang w:val="es-MX"/>
        </w:rPr>
      </w:pPr>
    </w:p>
    <w:p w14:paraId="7320E487" w14:textId="1BEA1D72" w:rsidR="00981CD8" w:rsidRPr="00981CD8" w:rsidRDefault="00EF273A" w:rsidP="00EF273A">
      <w:pPr>
        <w:autoSpaceDE w:val="0"/>
        <w:autoSpaceDN w:val="0"/>
        <w:adjustRightInd w:val="0"/>
        <w:spacing w:line="276" w:lineRule="auto"/>
        <w:ind w:firstLine="708"/>
        <w:jc w:val="both"/>
        <w:rPr>
          <w:rFonts w:eastAsiaTheme="minorHAnsi" w:cs="Arial"/>
          <w:sz w:val="24"/>
          <w:szCs w:val="24"/>
          <w:lang w:val="es-MX"/>
        </w:rPr>
      </w:pPr>
      <w:r w:rsidRPr="004B4066">
        <w:rPr>
          <w:rFonts w:cs="Arial"/>
          <w:b/>
          <w:snapToGrid w:val="0"/>
          <w:sz w:val="24"/>
          <w:szCs w:val="24"/>
          <w:lang w:val="es-MX"/>
        </w:rPr>
        <w:t>III.-</w:t>
      </w:r>
      <w:r w:rsidRPr="004B4066">
        <w:rPr>
          <w:rFonts w:cs="Arial"/>
          <w:snapToGrid w:val="0"/>
          <w:sz w:val="24"/>
          <w:szCs w:val="24"/>
          <w:lang w:val="es-MX"/>
        </w:rPr>
        <w:t xml:space="preserve"> Que </w:t>
      </w:r>
      <w:r w:rsidR="00981CD8">
        <w:rPr>
          <w:rFonts w:cs="Arial"/>
          <w:snapToGrid w:val="0"/>
          <w:sz w:val="24"/>
          <w:szCs w:val="24"/>
          <w:lang w:val="es-MX"/>
        </w:rPr>
        <w:t>el Reglamento Interior del Ayuntamiento de Zapotlán el Grande, Jalisco</w:t>
      </w:r>
      <w:r w:rsidRPr="004B4066">
        <w:rPr>
          <w:rFonts w:eastAsiaTheme="minorHAnsi" w:cs="Arial"/>
          <w:sz w:val="24"/>
          <w:szCs w:val="24"/>
          <w:lang w:val="es-MX"/>
        </w:rPr>
        <w:t xml:space="preserve">, prevé </w:t>
      </w:r>
      <w:r w:rsidR="00981CD8" w:rsidRPr="00981CD8">
        <w:rPr>
          <w:rFonts w:eastAsiaTheme="minorHAnsi" w:cs="Arial"/>
          <w:sz w:val="24"/>
          <w:szCs w:val="24"/>
          <w:lang w:val="es-MX"/>
        </w:rPr>
        <w:t xml:space="preserve">regular la instalación, organización y funcionamiento </w:t>
      </w:r>
      <w:r w:rsidR="00981CD8">
        <w:rPr>
          <w:rFonts w:eastAsiaTheme="minorHAnsi" w:cs="Arial"/>
          <w:sz w:val="24"/>
          <w:szCs w:val="24"/>
          <w:lang w:val="es-MX"/>
        </w:rPr>
        <w:t>del Ayuntamiento</w:t>
      </w:r>
      <w:r w:rsidR="00981CD8" w:rsidRPr="00981CD8">
        <w:rPr>
          <w:rFonts w:eastAsiaTheme="minorHAnsi" w:cs="Arial"/>
          <w:sz w:val="24"/>
          <w:szCs w:val="24"/>
          <w:lang w:val="es-MX"/>
        </w:rPr>
        <w:t xml:space="preserve"> del Municipio de Zapotlán el Grande.</w:t>
      </w:r>
    </w:p>
    <w:p w14:paraId="69336647" w14:textId="77777777" w:rsidR="00EF273A" w:rsidRPr="004B4066" w:rsidRDefault="00EF273A" w:rsidP="00EF273A">
      <w:pPr>
        <w:autoSpaceDE w:val="0"/>
        <w:autoSpaceDN w:val="0"/>
        <w:adjustRightInd w:val="0"/>
        <w:spacing w:line="276" w:lineRule="auto"/>
        <w:ind w:firstLine="708"/>
        <w:jc w:val="both"/>
        <w:rPr>
          <w:rFonts w:eastAsiaTheme="minorHAnsi" w:cs="Arial"/>
          <w:sz w:val="24"/>
          <w:szCs w:val="24"/>
          <w:lang w:val="es-MX"/>
        </w:rPr>
      </w:pPr>
    </w:p>
    <w:p w14:paraId="2883092E" w14:textId="77777777" w:rsidR="00877FF4" w:rsidRDefault="00EF273A" w:rsidP="00EF273A">
      <w:pPr>
        <w:autoSpaceDE w:val="0"/>
        <w:autoSpaceDN w:val="0"/>
        <w:adjustRightInd w:val="0"/>
        <w:spacing w:line="276" w:lineRule="auto"/>
        <w:ind w:firstLine="708"/>
        <w:jc w:val="both"/>
        <w:rPr>
          <w:rFonts w:eastAsiaTheme="minorHAnsi" w:cs="Arial"/>
          <w:sz w:val="24"/>
          <w:szCs w:val="24"/>
          <w:lang w:val="es-MX"/>
        </w:rPr>
      </w:pPr>
      <w:r w:rsidRPr="004B4066">
        <w:rPr>
          <w:rFonts w:eastAsiaTheme="minorHAnsi" w:cs="Arial"/>
          <w:b/>
          <w:sz w:val="24"/>
          <w:szCs w:val="24"/>
          <w:lang w:val="es-MX"/>
        </w:rPr>
        <w:t>IV.-</w:t>
      </w:r>
      <w:r w:rsidRPr="004B4066">
        <w:rPr>
          <w:rFonts w:eastAsiaTheme="minorHAnsi" w:cs="Arial"/>
          <w:sz w:val="24"/>
          <w:szCs w:val="24"/>
          <w:lang w:val="es-MX"/>
        </w:rPr>
        <w:t xml:space="preserve"> El propósito de esta iniciativa de ordenamiento</w:t>
      </w:r>
      <w:r w:rsidR="00981CD8">
        <w:rPr>
          <w:rFonts w:eastAsiaTheme="minorHAnsi" w:cs="Arial"/>
          <w:sz w:val="24"/>
          <w:szCs w:val="24"/>
          <w:lang w:val="es-MX"/>
        </w:rPr>
        <w:t xml:space="preserve">, </w:t>
      </w:r>
      <w:r w:rsidRPr="004B4066">
        <w:rPr>
          <w:rFonts w:eastAsiaTheme="minorHAnsi" w:cs="Arial"/>
          <w:sz w:val="24"/>
          <w:szCs w:val="24"/>
          <w:lang w:val="es-MX"/>
        </w:rPr>
        <w:t xml:space="preserve">radica reformar </w:t>
      </w:r>
      <w:r w:rsidR="00981CD8">
        <w:rPr>
          <w:rFonts w:eastAsiaTheme="minorHAnsi" w:cs="Arial"/>
          <w:sz w:val="24"/>
          <w:szCs w:val="24"/>
          <w:lang w:val="es-MX"/>
        </w:rPr>
        <w:t xml:space="preserve">el </w:t>
      </w:r>
      <w:r w:rsidR="00981CD8" w:rsidRPr="00981CD8">
        <w:rPr>
          <w:rFonts w:eastAsiaTheme="minorHAnsi" w:cs="Arial"/>
          <w:b/>
          <w:bCs/>
          <w:sz w:val="24"/>
          <w:szCs w:val="24"/>
          <w:lang w:val="es-MX"/>
        </w:rPr>
        <w:t>artículo 129 del Reglamento Interior del Ayuntamiento de Zapotlán el Grande, Jalisco</w:t>
      </w:r>
      <w:r w:rsidR="00981CD8">
        <w:rPr>
          <w:rFonts w:eastAsiaTheme="minorHAnsi" w:cs="Arial"/>
          <w:sz w:val="24"/>
          <w:szCs w:val="24"/>
          <w:lang w:val="es-MX"/>
        </w:rPr>
        <w:t xml:space="preserve">, </w:t>
      </w:r>
    </w:p>
    <w:p w14:paraId="21489E12" w14:textId="77777777" w:rsidR="00877FF4" w:rsidRPr="00877FF4" w:rsidRDefault="00877FF4" w:rsidP="00EF273A">
      <w:pPr>
        <w:autoSpaceDE w:val="0"/>
        <w:autoSpaceDN w:val="0"/>
        <w:adjustRightInd w:val="0"/>
        <w:spacing w:line="276" w:lineRule="auto"/>
        <w:ind w:firstLine="708"/>
        <w:jc w:val="both"/>
        <w:rPr>
          <w:rFonts w:eastAsiaTheme="minorHAnsi" w:cs="Arial"/>
          <w:lang w:val="es-MX"/>
        </w:rPr>
      </w:pPr>
    </w:p>
    <w:p w14:paraId="1EDE82EF" w14:textId="77777777" w:rsidR="00877FF4" w:rsidRPr="00877FF4" w:rsidRDefault="00877FF4" w:rsidP="00877FF4">
      <w:pPr>
        <w:ind w:left="1134"/>
        <w:rPr>
          <w:b/>
          <w:bCs/>
          <w:lang w:val="es-MX"/>
        </w:rPr>
      </w:pPr>
      <w:r w:rsidRPr="00877FF4">
        <w:rPr>
          <w:b/>
          <w:bCs/>
          <w:lang w:val="es-MX"/>
        </w:rPr>
        <w:t xml:space="preserve">Artículo 129- </w:t>
      </w:r>
    </w:p>
    <w:p w14:paraId="5951CAA9" w14:textId="77777777" w:rsidR="00877FF4" w:rsidRPr="00877FF4" w:rsidRDefault="00877FF4" w:rsidP="00877FF4">
      <w:pPr>
        <w:pStyle w:val="Prrafodelista"/>
        <w:numPr>
          <w:ilvl w:val="0"/>
          <w:numId w:val="2"/>
        </w:numPr>
        <w:ind w:left="1134"/>
        <w:jc w:val="both"/>
        <w:rPr>
          <w:lang w:val="es-MX"/>
        </w:rPr>
      </w:pPr>
      <w:r w:rsidRPr="00877FF4">
        <w:rPr>
          <w:lang w:val="es-MX"/>
        </w:rPr>
        <w:t xml:space="preserve">Las votaciones se hacen en forma económica, nominal o por cédula. </w:t>
      </w:r>
    </w:p>
    <w:p w14:paraId="6057104A" w14:textId="77777777" w:rsidR="00877FF4" w:rsidRPr="00877FF4" w:rsidRDefault="00877FF4" w:rsidP="00877FF4">
      <w:pPr>
        <w:pStyle w:val="Prrafodelista"/>
        <w:numPr>
          <w:ilvl w:val="0"/>
          <w:numId w:val="2"/>
        </w:numPr>
        <w:ind w:left="1134"/>
        <w:jc w:val="both"/>
        <w:rPr>
          <w:lang w:val="es-MX"/>
        </w:rPr>
      </w:pPr>
      <w:r w:rsidRPr="00877FF4">
        <w:rPr>
          <w:lang w:val="es-MX"/>
        </w:rPr>
        <w:t xml:space="preserve">El sentido del voto puede ser: </w:t>
      </w:r>
    </w:p>
    <w:p w14:paraId="0718CC90" w14:textId="77777777" w:rsidR="00877FF4" w:rsidRPr="00877FF4" w:rsidRDefault="00877FF4" w:rsidP="00877FF4">
      <w:pPr>
        <w:ind w:left="1134"/>
        <w:rPr>
          <w:lang w:val="es-MX"/>
        </w:rPr>
      </w:pPr>
      <w:r w:rsidRPr="00877FF4">
        <w:rPr>
          <w:lang w:val="es-MX"/>
        </w:rPr>
        <w:t>I. A favor;</w:t>
      </w:r>
    </w:p>
    <w:p w14:paraId="5D6C7672" w14:textId="77777777" w:rsidR="00877FF4" w:rsidRPr="00877FF4" w:rsidRDefault="00877FF4" w:rsidP="00877FF4">
      <w:pPr>
        <w:ind w:left="1134"/>
        <w:rPr>
          <w:lang w:val="es-MX"/>
        </w:rPr>
      </w:pPr>
      <w:r w:rsidRPr="00877FF4">
        <w:rPr>
          <w:lang w:val="es-MX"/>
        </w:rPr>
        <w:t>II. En contra; y</w:t>
      </w:r>
    </w:p>
    <w:p w14:paraId="2508CDDB" w14:textId="77777777" w:rsidR="00877FF4" w:rsidRPr="00877FF4" w:rsidRDefault="00877FF4" w:rsidP="00877FF4">
      <w:pPr>
        <w:ind w:left="1134"/>
        <w:rPr>
          <w:lang w:val="es-MX"/>
        </w:rPr>
      </w:pPr>
      <w:r w:rsidRPr="00877FF4">
        <w:rPr>
          <w:lang w:val="es-MX"/>
        </w:rPr>
        <w:t>III. Abstención.</w:t>
      </w:r>
    </w:p>
    <w:p w14:paraId="5BBA8DCB" w14:textId="77777777" w:rsidR="00877FF4" w:rsidRPr="00877FF4" w:rsidRDefault="00877FF4" w:rsidP="00877FF4">
      <w:pPr>
        <w:autoSpaceDE w:val="0"/>
        <w:autoSpaceDN w:val="0"/>
        <w:adjustRightInd w:val="0"/>
        <w:spacing w:line="276" w:lineRule="auto"/>
        <w:ind w:left="1134" w:firstLine="708"/>
        <w:jc w:val="both"/>
        <w:rPr>
          <w:rFonts w:eastAsiaTheme="minorHAnsi" w:cs="Arial"/>
          <w:lang w:val="es-MX"/>
        </w:rPr>
      </w:pPr>
    </w:p>
    <w:p w14:paraId="73E79286" w14:textId="747D83E2" w:rsidR="00EF273A" w:rsidRDefault="00877FF4" w:rsidP="00EF273A">
      <w:pPr>
        <w:autoSpaceDE w:val="0"/>
        <w:autoSpaceDN w:val="0"/>
        <w:adjustRightInd w:val="0"/>
        <w:spacing w:line="276" w:lineRule="auto"/>
        <w:ind w:firstLine="708"/>
        <w:jc w:val="both"/>
        <w:rPr>
          <w:rFonts w:eastAsiaTheme="minorHAnsi" w:cs="Arial"/>
          <w:sz w:val="24"/>
          <w:szCs w:val="24"/>
          <w:lang w:val="es-MX"/>
        </w:rPr>
      </w:pPr>
      <w:r>
        <w:rPr>
          <w:rFonts w:eastAsiaTheme="minorHAnsi" w:cs="Arial"/>
          <w:b/>
          <w:bCs/>
          <w:sz w:val="24"/>
          <w:szCs w:val="24"/>
          <w:lang w:val="es-MX"/>
        </w:rPr>
        <w:t xml:space="preserve">Esto </w:t>
      </w:r>
      <w:r w:rsidR="00981CD8" w:rsidRPr="00981CD8">
        <w:rPr>
          <w:rFonts w:eastAsiaTheme="minorHAnsi" w:cs="Arial"/>
          <w:b/>
          <w:bCs/>
          <w:sz w:val="24"/>
          <w:szCs w:val="24"/>
          <w:lang w:val="es-MX"/>
        </w:rPr>
        <w:t>con el objetivo de lograr armonizar</w:t>
      </w:r>
      <w:r w:rsidR="00981CD8">
        <w:rPr>
          <w:rFonts w:eastAsiaTheme="minorHAnsi" w:cs="Arial"/>
          <w:sz w:val="24"/>
          <w:szCs w:val="24"/>
          <w:lang w:val="es-MX"/>
        </w:rPr>
        <w:t xml:space="preserve"> a lo establecido en el artículo 35 de la Ley del Gobierno y la Administración Pública Municipal del Estado de Jalisco, que a la letra dice:</w:t>
      </w:r>
    </w:p>
    <w:p w14:paraId="037D6268" w14:textId="77777777" w:rsidR="00981CD8" w:rsidRDefault="00981CD8" w:rsidP="00981CD8">
      <w:pPr>
        <w:autoSpaceDE w:val="0"/>
        <w:autoSpaceDN w:val="0"/>
        <w:adjustRightInd w:val="0"/>
        <w:spacing w:line="276" w:lineRule="auto"/>
        <w:ind w:left="567" w:firstLine="708"/>
        <w:jc w:val="both"/>
        <w:rPr>
          <w:rFonts w:eastAsiaTheme="minorHAnsi" w:cs="Arial"/>
          <w:sz w:val="24"/>
          <w:szCs w:val="24"/>
          <w:lang w:val="es-MX"/>
        </w:rPr>
      </w:pPr>
    </w:p>
    <w:p w14:paraId="66D1363C" w14:textId="77777777" w:rsidR="00981CD8" w:rsidRPr="00981CD8" w:rsidRDefault="00981CD8" w:rsidP="00981CD8">
      <w:pPr>
        <w:ind w:left="567"/>
        <w:jc w:val="both"/>
        <w:rPr>
          <w:snapToGrid w:val="0"/>
          <w:lang w:val="es-MX"/>
        </w:rPr>
      </w:pPr>
      <w:r w:rsidRPr="00981CD8">
        <w:rPr>
          <w:b/>
          <w:bCs/>
          <w:snapToGrid w:val="0"/>
          <w:lang w:val="es-MX"/>
        </w:rPr>
        <w:t>Artículo 35</w:t>
      </w:r>
      <w:r w:rsidRPr="00981CD8">
        <w:rPr>
          <w:snapToGrid w:val="0"/>
          <w:lang w:val="es-MX"/>
        </w:rPr>
        <w:t>. Se entiende por mayoría simple de votos, la correspondiente a la mitad más uno de los integrantes del Ayuntamiento que concurran a una sesión.</w:t>
      </w:r>
    </w:p>
    <w:p w14:paraId="031A8453" w14:textId="77777777" w:rsidR="00981CD8" w:rsidRPr="00981CD8" w:rsidRDefault="00981CD8" w:rsidP="00981CD8">
      <w:pPr>
        <w:ind w:left="567"/>
        <w:jc w:val="both"/>
        <w:rPr>
          <w:snapToGrid w:val="0"/>
          <w:lang w:val="es-MX"/>
        </w:rPr>
      </w:pPr>
    </w:p>
    <w:p w14:paraId="2B53268A" w14:textId="77777777" w:rsidR="00981CD8" w:rsidRPr="00981CD8" w:rsidRDefault="00981CD8" w:rsidP="00981CD8">
      <w:pPr>
        <w:ind w:left="567"/>
        <w:jc w:val="both"/>
        <w:rPr>
          <w:snapToGrid w:val="0"/>
          <w:lang w:val="es-MX"/>
        </w:rPr>
      </w:pPr>
      <w:r w:rsidRPr="00981CD8">
        <w:rPr>
          <w:snapToGrid w:val="0"/>
          <w:lang w:val="es-MX"/>
        </w:rPr>
        <w:t>Se entiende por mayoría absoluta de votos, la correspondiente a la mitad más uno de los integrantes del Ayuntamiento.</w:t>
      </w:r>
    </w:p>
    <w:p w14:paraId="2FFA536E" w14:textId="77777777" w:rsidR="00981CD8" w:rsidRPr="00981CD8" w:rsidRDefault="00981CD8" w:rsidP="00981CD8">
      <w:pPr>
        <w:ind w:left="567"/>
        <w:jc w:val="both"/>
        <w:rPr>
          <w:snapToGrid w:val="0"/>
          <w:lang w:val="es-MX"/>
        </w:rPr>
      </w:pPr>
    </w:p>
    <w:p w14:paraId="315F5E88" w14:textId="77777777" w:rsidR="00981CD8" w:rsidRPr="00981CD8" w:rsidRDefault="00981CD8" w:rsidP="00981CD8">
      <w:pPr>
        <w:ind w:left="567"/>
        <w:jc w:val="both"/>
        <w:rPr>
          <w:snapToGrid w:val="0"/>
          <w:lang w:val="es-MX"/>
        </w:rPr>
      </w:pPr>
      <w:r w:rsidRPr="00981CD8">
        <w:rPr>
          <w:snapToGrid w:val="0"/>
          <w:lang w:val="es-MX"/>
        </w:rPr>
        <w:t>Se entiende por mayoría calificada de votos, la correspondiente a las dos terceras partes de los integrantes del Ayuntamiento.</w:t>
      </w:r>
    </w:p>
    <w:p w14:paraId="32BA4A65" w14:textId="77777777" w:rsidR="00981CD8" w:rsidRPr="00981CD8" w:rsidRDefault="00981CD8" w:rsidP="00981CD8">
      <w:pPr>
        <w:ind w:left="567"/>
        <w:jc w:val="both"/>
        <w:rPr>
          <w:snapToGrid w:val="0"/>
          <w:lang w:val="es-MX"/>
        </w:rPr>
      </w:pPr>
    </w:p>
    <w:p w14:paraId="2FC4C701" w14:textId="77777777" w:rsidR="00981CD8" w:rsidRPr="002D4033" w:rsidRDefault="00981CD8" w:rsidP="00981CD8">
      <w:pPr>
        <w:pStyle w:val="Textoindependiente2"/>
        <w:ind w:left="567"/>
        <w:rPr>
          <w:sz w:val="20"/>
          <w:szCs w:val="20"/>
        </w:rPr>
      </w:pPr>
      <w:r w:rsidRPr="002D4033">
        <w:rPr>
          <w:sz w:val="20"/>
          <w:szCs w:val="20"/>
        </w:rPr>
        <w:t>Cuando por la integración del Ayuntamiento, las dos terceras partes resulten en cantidad fraccionaria, se considerará la cantidad inmediata superior.</w:t>
      </w:r>
    </w:p>
    <w:p w14:paraId="2B1341B0" w14:textId="77777777" w:rsidR="00981CD8" w:rsidRPr="002D4033" w:rsidRDefault="00981CD8" w:rsidP="00981CD8">
      <w:pPr>
        <w:pStyle w:val="Textoindependiente2"/>
        <w:ind w:left="567"/>
        <w:rPr>
          <w:sz w:val="20"/>
          <w:szCs w:val="20"/>
        </w:rPr>
      </w:pPr>
    </w:p>
    <w:p w14:paraId="1CCBCBFD" w14:textId="77777777" w:rsidR="00981CD8" w:rsidRPr="00981CD8" w:rsidRDefault="00981CD8" w:rsidP="00981CD8">
      <w:pPr>
        <w:ind w:left="567"/>
        <w:jc w:val="both"/>
        <w:rPr>
          <w:snapToGrid w:val="0"/>
          <w:lang w:val="es-MX"/>
        </w:rPr>
      </w:pPr>
      <w:r w:rsidRPr="00981CD8">
        <w:rPr>
          <w:snapToGrid w:val="0"/>
          <w:lang w:val="es-MX"/>
        </w:rPr>
        <w:t>En los términos de la reglamentación municipal, en cada votación se determinará si el voto se emitirá en forma económica, nominal o por cédula. Cuando no se señale expresamente la forma de emitir el voto se entenderá que se trata de votación económica.</w:t>
      </w:r>
    </w:p>
    <w:p w14:paraId="515D7496" w14:textId="77777777" w:rsidR="00981CD8" w:rsidRPr="00981CD8" w:rsidRDefault="00981CD8" w:rsidP="00981CD8">
      <w:pPr>
        <w:ind w:left="567"/>
        <w:jc w:val="both"/>
        <w:rPr>
          <w:snapToGrid w:val="0"/>
          <w:lang w:val="es-MX"/>
        </w:rPr>
      </w:pPr>
    </w:p>
    <w:p w14:paraId="094E89DE" w14:textId="77777777" w:rsidR="00981CD8" w:rsidRPr="00981CD8" w:rsidRDefault="00981CD8" w:rsidP="00981CD8">
      <w:pPr>
        <w:ind w:left="567"/>
        <w:jc w:val="both"/>
        <w:rPr>
          <w:b/>
          <w:bCs/>
          <w:snapToGrid w:val="0"/>
          <w:lang w:val="es-MX"/>
        </w:rPr>
      </w:pPr>
      <w:r w:rsidRPr="00981CD8">
        <w:rPr>
          <w:b/>
          <w:bCs/>
          <w:snapToGrid w:val="0"/>
          <w:lang w:val="es-MX"/>
        </w:rPr>
        <w:t>El sentido del voto puede ser a favor, en contra o abstención. Para la determinación de los resultados correspondientes sólo se computarán los votos a favor y en contra; las abstenciones se declaran por separado y no se suman a la mayoría.</w:t>
      </w:r>
    </w:p>
    <w:p w14:paraId="5F6CAA61" w14:textId="77777777" w:rsidR="00981CD8" w:rsidRPr="004B4066" w:rsidRDefault="00981CD8" w:rsidP="00981CD8">
      <w:pPr>
        <w:autoSpaceDE w:val="0"/>
        <w:autoSpaceDN w:val="0"/>
        <w:adjustRightInd w:val="0"/>
        <w:spacing w:line="276" w:lineRule="auto"/>
        <w:ind w:left="567" w:firstLine="708"/>
        <w:jc w:val="both"/>
        <w:rPr>
          <w:rFonts w:eastAsiaTheme="minorHAnsi" w:cs="Arial"/>
          <w:sz w:val="24"/>
          <w:szCs w:val="24"/>
          <w:lang w:val="es-MX"/>
        </w:rPr>
      </w:pPr>
    </w:p>
    <w:p w14:paraId="5D78133B" w14:textId="77777777" w:rsidR="00877FF4" w:rsidRDefault="00877FF4" w:rsidP="00877FF4">
      <w:pPr>
        <w:spacing w:line="276" w:lineRule="auto"/>
        <w:ind w:firstLine="567"/>
        <w:jc w:val="both"/>
        <w:rPr>
          <w:sz w:val="24"/>
          <w:szCs w:val="24"/>
          <w:lang w:val="es-MX"/>
        </w:rPr>
      </w:pPr>
    </w:p>
    <w:p w14:paraId="64A897C4" w14:textId="77777777" w:rsidR="00877FF4" w:rsidRDefault="00877FF4" w:rsidP="00877FF4">
      <w:pPr>
        <w:spacing w:line="276" w:lineRule="auto"/>
        <w:ind w:firstLine="567"/>
        <w:jc w:val="both"/>
        <w:rPr>
          <w:sz w:val="24"/>
          <w:szCs w:val="24"/>
          <w:lang w:val="es-MX"/>
        </w:rPr>
      </w:pPr>
    </w:p>
    <w:p w14:paraId="776015D9" w14:textId="6286B3B2" w:rsidR="00960F04" w:rsidRPr="00960F04" w:rsidRDefault="00960F04" w:rsidP="00877FF4">
      <w:pPr>
        <w:spacing w:line="276" w:lineRule="auto"/>
        <w:ind w:firstLine="567"/>
        <w:jc w:val="both"/>
        <w:rPr>
          <w:sz w:val="24"/>
          <w:szCs w:val="24"/>
          <w:lang w:val="es-MX"/>
        </w:rPr>
      </w:pPr>
      <w:r w:rsidRPr="00960F04">
        <w:rPr>
          <w:sz w:val="24"/>
          <w:szCs w:val="24"/>
          <w:lang w:val="es-MX"/>
        </w:rPr>
        <w:t xml:space="preserve">En el tenor que este objetivo, motiva invocar que la facultad reglamentaria está acotada </w:t>
      </w:r>
      <w:r w:rsidR="001130C5">
        <w:rPr>
          <w:sz w:val="24"/>
          <w:szCs w:val="24"/>
          <w:lang w:val="es-MX"/>
        </w:rPr>
        <w:t xml:space="preserve">por el principio </w:t>
      </w:r>
      <w:r w:rsidRPr="00960F04">
        <w:rPr>
          <w:b/>
          <w:bCs/>
          <w:sz w:val="24"/>
          <w:szCs w:val="24"/>
          <w:lang w:val="es-MX"/>
        </w:rPr>
        <w:t>de subordinación jerárquica</w:t>
      </w:r>
      <w:r w:rsidR="001130C5">
        <w:rPr>
          <w:b/>
          <w:bCs/>
          <w:sz w:val="24"/>
          <w:szCs w:val="24"/>
          <w:lang w:val="es-MX"/>
        </w:rPr>
        <w:t xml:space="preserve"> o jerarquía normativa</w:t>
      </w:r>
      <w:r w:rsidRPr="00960F04">
        <w:rPr>
          <w:sz w:val="24"/>
          <w:szCs w:val="24"/>
          <w:lang w:val="es-MX"/>
        </w:rPr>
        <w:t>, que consiste, en que el ejercicio de la facultad no puede modificar o alterar el contenido de una ley, es decir, no puede ir más allá de lo previsto en ella, conforme al criterio jurisprudencial siguiente:</w:t>
      </w:r>
    </w:p>
    <w:p w14:paraId="71FFE801" w14:textId="77777777" w:rsidR="00960F04" w:rsidRPr="00960F04" w:rsidRDefault="00960F04" w:rsidP="00960F04">
      <w:pPr>
        <w:spacing w:line="276" w:lineRule="auto"/>
        <w:jc w:val="both"/>
        <w:rPr>
          <w:sz w:val="24"/>
          <w:szCs w:val="24"/>
          <w:lang w:val="es-MX"/>
        </w:rPr>
      </w:pPr>
    </w:p>
    <w:p w14:paraId="3ECDF033" w14:textId="77777777" w:rsidR="00960F04" w:rsidRDefault="00960F04" w:rsidP="00960F04">
      <w:pPr>
        <w:jc w:val="both"/>
        <w:rPr>
          <w:lang w:val="es-MX"/>
        </w:rPr>
      </w:pPr>
    </w:p>
    <w:p w14:paraId="5425C711" w14:textId="77777777" w:rsidR="00960F04" w:rsidRPr="00960F04" w:rsidRDefault="00960F04" w:rsidP="001130C5">
      <w:pPr>
        <w:spacing w:line="276" w:lineRule="auto"/>
        <w:ind w:left="567"/>
        <w:jc w:val="both"/>
        <w:rPr>
          <w:lang w:val="es-MX"/>
        </w:rPr>
      </w:pPr>
      <w:r w:rsidRPr="00960F04">
        <w:rPr>
          <w:lang w:val="es-MX"/>
        </w:rPr>
        <w:t>Registro digital: 172521</w:t>
      </w:r>
    </w:p>
    <w:p w14:paraId="4852CA31" w14:textId="77777777" w:rsidR="00960F04" w:rsidRPr="00960F04" w:rsidRDefault="00960F04" w:rsidP="001130C5">
      <w:pPr>
        <w:spacing w:line="276" w:lineRule="auto"/>
        <w:ind w:left="567"/>
        <w:jc w:val="both"/>
        <w:rPr>
          <w:lang w:val="es-MX"/>
        </w:rPr>
      </w:pPr>
      <w:r w:rsidRPr="00960F04">
        <w:rPr>
          <w:lang w:val="es-MX"/>
        </w:rPr>
        <w:t>Instancia: Suprema Corte de Justicia de la Nación</w:t>
      </w:r>
    </w:p>
    <w:p w14:paraId="2B238CAC" w14:textId="77777777" w:rsidR="00960F04" w:rsidRPr="00960F04" w:rsidRDefault="00960F04" w:rsidP="001130C5">
      <w:pPr>
        <w:spacing w:line="276" w:lineRule="auto"/>
        <w:ind w:left="567"/>
        <w:jc w:val="both"/>
        <w:rPr>
          <w:lang w:val="es-MX"/>
        </w:rPr>
      </w:pPr>
      <w:r w:rsidRPr="00960F04">
        <w:rPr>
          <w:lang w:val="es-MX"/>
        </w:rPr>
        <w:t>Novena Época</w:t>
      </w:r>
    </w:p>
    <w:p w14:paraId="0DD87848" w14:textId="77777777" w:rsidR="00960F04" w:rsidRPr="00960F04" w:rsidRDefault="00960F04" w:rsidP="001130C5">
      <w:pPr>
        <w:spacing w:line="276" w:lineRule="auto"/>
        <w:ind w:left="567"/>
        <w:jc w:val="both"/>
        <w:rPr>
          <w:lang w:val="es-MX"/>
        </w:rPr>
      </w:pPr>
      <w:r w:rsidRPr="00960F04">
        <w:rPr>
          <w:lang w:val="es-MX"/>
        </w:rPr>
        <w:t>Materia(s): Constitucional</w:t>
      </w:r>
    </w:p>
    <w:p w14:paraId="448B14CF" w14:textId="77777777" w:rsidR="00960F04" w:rsidRPr="00960F04" w:rsidRDefault="00960F04" w:rsidP="001130C5">
      <w:pPr>
        <w:spacing w:line="276" w:lineRule="auto"/>
        <w:ind w:left="567"/>
        <w:jc w:val="both"/>
        <w:rPr>
          <w:lang w:val="es-MX"/>
        </w:rPr>
      </w:pPr>
      <w:proofErr w:type="spellStart"/>
      <w:proofErr w:type="gramStart"/>
      <w:r w:rsidRPr="00960F04">
        <w:rPr>
          <w:lang w:val="es-MX"/>
        </w:rPr>
        <w:t>Tesis:P</w:t>
      </w:r>
      <w:proofErr w:type="spellEnd"/>
      <w:r w:rsidRPr="00960F04">
        <w:rPr>
          <w:lang w:val="es-MX"/>
        </w:rPr>
        <w:t>.</w:t>
      </w:r>
      <w:proofErr w:type="gramEnd"/>
      <w:r w:rsidRPr="00960F04">
        <w:rPr>
          <w:lang w:val="es-MX"/>
        </w:rPr>
        <w:t>/J. 30/2007</w:t>
      </w:r>
    </w:p>
    <w:p w14:paraId="26AA1AF3" w14:textId="77777777" w:rsidR="00960F04" w:rsidRPr="00960F04" w:rsidRDefault="00960F04" w:rsidP="001130C5">
      <w:pPr>
        <w:spacing w:line="276" w:lineRule="auto"/>
        <w:ind w:left="567"/>
        <w:jc w:val="both"/>
        <w:rPr>
          <w:lang w:val="es-MX"/>
        </w:rPr>
      </w:pPr>
      <w:r w:rsidRPr="00960F04">
        <w:rPr>
          <w:lang w:val="es-MX"/>
        </w:rPr>
        <w:t>Fuente: Semanario Judicial de la Federación y su Gaceta</w:t>
      </w:r>
    </w:p>
    <w:p w14:paraId="66D89645" w14:textId="77777777" w:rsidR="00960F04" w:rsidRPr="00960F04" w:rsidRDefault="00960F04" w:rsidP="001130C5">
      <w:pPr>
        <w:spacing w:line="276" w:lineRule="auto"/>
        <w:ind w:left="567"/>
        <w:jc w:val="both"/>
        <w:rPr>
          <w:lang w:val="es-MX"/>
        </w:rPr>
      </w:pPr>
      <w:r w:rsidRPr="00960F04">
        <w:rPr>
          <w:lang w:val="es-MX"/>
        </w:rPr>
        <w:t>Tipo: Tesis de Jurisprudencia</w:t>
      </w:r>
    </w:p>
    <w:p w14:paraId="1E09C589" w14:textId="77777777" w:rsidR="00960F04" w:rsidRPr="00960F04" w:rsidRDefault="00960F04" w:rsidP="001130C5">
      <w:pPr>
        <w:spacing w:line="276" w:lineRule="auto"/>
        <w:ind w:left="567"/>
        <w:jc w:val="both"/>
        <w:rPr>
          <w:lang w:val="es-MX"/>
        </w:rPr>
      </w:pPr>
    </w:p>
    <w:p w14:paraId="77EBE4E5" w14:textId="77777777" w:rsidR="00960F04" w:rsidRPr="00960F04" w:rsidRDefault="00960F04" w:rsidP="001130C5">
      <w:pPr>
        <w:spacing w:line="276" w:lineRule="auto"/>
        <w:ind w:left="567"/>
        <w:jc w:val="both"/>
        <w:rPr>
          <w:lang w:val="es-MX"/>
        </w:rPr>
      </w:pPr>
      <w:r w:rsidRPr="00960F04">
        <w:rPr>
          <w:lang w:val="es-MX"/>
        </w:rPr>
        <w:t>FACULTAD REGLAMENTARIA. SUS LÍMITES.</w:t>
      </w:r>
    </w:p>
    <w:p w14:paraId="2FB91403" w14:textId="77777777" w:rsidR="00960F04" w:rsidRPr="00960F04" w:rsidRDefault="00960F04" w:rsidP="001130C5">
      <w:pPr>
        <w:spacing w:line="276" w:lineRule="auto"/>
        <w:ind w:left="567"/>
        <w:jc w:val="both"/>
        <w:rPr>
          <w:lang w:val="es-MX"/>
        </w:rPr>
      </w:pPr>
    </w:p>
    <w:p w14:paraId="6A418371" w14:textId="77777777" w:rsidR="00960F04" w:rsidRPr="00960F04" w:rsidRDefault="00960F04" w:rsidP="001130C5">
      <w:pPr>
        <w:spacing w:line="276" w:lineRule="auto"/>
        <w:ind w:left="567"/>
        <w:jc w:val="both"/>
        <w:rPr>
          <w:lang w:val="es-MX"/>
        </w:rPr>
      </w:pPr>
      <w:r w:rsidRPr="00960F04">
        <w:rPr>
          <w:lang w:val="es-MX"/>
        </w:rPr>
        <w:t>La facultad reglamentaria está limitada por los principios de reserva de ley y de subordinación jerárquica. El primero se presenta cuando una norma constitucional reserva expresamente a la ley la regulación de una determinada materia, por lo que excluye la posibilidad de que los aspectos de esa reserva sean regulados por disposiciones de naturaleza distinta a la ley, esto es, por un lado, el legislador ordinario ha de establecer por sí mismo la regulación de la materia determinada y, por el otro, la materia reservada no puede regularse por otras normas secundarias, en especial el reglamento. El segundo principio, el de jerarquía normativa, consiste en que el ejercicio de la facultad reglamentaria no puede modificar o alterar el contenido de una ley, es decir, los reglamentos tienen como límite natural los alcances de las disposiciones que dan cuerpo y materia a la ley que reglamentan, detallando sus hipótesis y supuestos normativos de aplicación, sin que pueda contener mayores posibilidades o imponga distintas limitantes a las de la propia ley que va a reglamentar. Así, el ejercicio de la facultad reglamentaria debe realizarse única y exclusivamente dentro de la esfera de atribuciones propias del órgano facultado, pues la norma reglamentaria se emite por facultades explícitas o implícitas previstas en la ley o que de ella derivan, siendo precisamente esa zona donde pueden y deben expedirse reglamentos que provean a la exacta observancia de aquélla, por lo que al ser competencia exclusiva de la ley la determinación del qué, quién, dónde y cuándo de una situación jurídica general, hipotética y abstracta, al reglamento de ejecución competerá, por consecuencia, el cómo de esos mismos supuestos jurídicos. En tal virtud, si el reglamento sólo funciona en la zona del cómo, sus disposiciones podrán referirse a las otras preguntas (qué, quién, dónde y cuándo), siempre que éstas ya estén contestadas por la ley; es decir, el reglamento desenvuelve la obligatoriedad de un principio ya definido por la ley y, por tanto, no puede ir más allá de ella, ni extenderla a supuestos distintos ni mucho menos contradecirla, sino que sólo debe concretarse a indicar los medios para cumplirla y, además, cuando existe reserva de ley no podrá abordar los aspectos materia de tal disposición.</w:t>
      </w:r>
    </w:p>
    <w:p w14:paraId="6E5C6369" w14:textId="77777777" w:rsidR="00960F04" w:rsidRDefault="00960F04" w:rsidP="001130C5">
      <w:pPr>
        <w:spacing w:line="276" w:lineRule="auto"/>
        <w:ind w:left="567"/>
        <w:jc w:val="both"/>
        <w:rPr>
          <w:lang w:val="es-MX"/>
        </w:rPr>
      </w:pPr>
    </w:p>
    <w:p w14:paraId="4E00ABDC" w14:textId="77777777" w:rsidR="00877FF4" w:rsidRDefault="00877FF4" w:rsidP="001130C5">
      <w:pPr>
        <w:spacing w:line="276" w:lineRule="auto"/>
        <w:ind w:left="567"/>
        <w:jc w:val="both"/>
        <w:rPr>
          <w:lang w:val="es-MX"/>
        </w:rPr>
      </w:pPr>
    </w:p>
    <w:p w14:paraId="189A6606" w14:textId="77777777" w:rsidR="00877FF4" w:rsidRDefault="00877FF4" w:rsidP="001130C5">
      <w:pPr>
        <w:spacing w:line="276" w:lineRule="auto"/>
        <w:ind w:left="567"/>
        <w:jc w:val="both"/>
        <w:rPr>
          <w:lang w:val="es-MX"/>
        </w:rPr>
      </w:pPr>
    </w:p>
    <w:p w14:paraId="5F7C655C" w14:textId="77777777" w:rsidR="00877FF4" w:rsidRDefault="00877FF4" w:rsidP="001130C5">
      <w:pPr>
        <w:spacing w:line="276" w:lineRule="auto"/>
        <w:ind w:left="567"/>
        <w:jc w:val="both"/>
        <w:rPr>
          <w:lang w:val="es-MX"/>
        </w:rPr>
      </w:pPr>
    </w:p>
    <w:p w14:paraId="16D2AABB" w14:textId="77777777" w:rsidR="00877FF4" w:rsidRPr="00960F04" w:rsidRDefault="00877FF4" w:rsidP="001130C5">
      <w:pPr>
        <w:spacing w:line="276" w:lineRule="auto"/>
        <w:ind w:left="567"/>
        <w:jc w:val="both"/>
        <w:rPr>
          <w:lang w:val="es-MX"/>
        </w:rPr>
      </w:pPr>
    </w:p>
    <w:p w14:paraId="695E996B" w14:textId="77777777" w:rsidR="00960F04" w:rsidRPr="00960F04" w:rsidRDefault="00960F04" w:rsidP="001130C5">
      <w:pPr>
        <w:spacing w:line="276" w:lineRule="auto"/>
        <w:ind w:left="567"/>
        <w:jc w:val="both"/>
        <w:rPr>
          <w:lang w:val="es-MX"/>
        </w:rPr>
      </w:pPr>
      <w:r w:rsidRPr="00960F04">
        <w:rPr>
          <w:lang w:val="es-MX"/>
        </w:rPr>
        <w:t xml:space="preserve">Acción de inconstitucionalidad 36/2006. Partido Acción Nacional. 23 de noviembre de 2006. Unanimidad de diez votos. Ausente: José de Jesús Gudiño Pelayo. Ponente: Genaro David Góngora Pimentel. Secretarios: </w:t>
      </w:r>
      <w:proofErr w:type="spellStart"/>
      <w:r w:rsidRPr="00960F04">
        <w:rPr>
          <w:lang w:val="es-MX"/>
        </w:rPr>
        <w:t>Makawi</w:t>
      </w:r>
      <w:proofErr w:type="spellEnd"/>
      <w:r w:rsidRPr="00960F04">
        <w:rPr>
          <w:lang w:val="es-MX"/>
        </w:rPr>
        <w:t xml:space="preserve"> </w:t>
      </w:r>
      <w:proofErr w:type="spellStart"/>
      <w:r w:rsidRPr="00960F04">
        <w:rPr>
          <w:lang w:val="es-MX"/>
        </w:rPr>
        <w:t>Staines</w:t>
      </w:r>
      <w:proofErr w:type="spellEnd"/>
      <w:r w:rsidRPr="00960F04">
        <w:rPr>
          <w:lang w:val="es-MX"/>
        </w:rPr>
        <w:t xml:space="preserve"> Díaz, </w:t>
      </w:r>
      <w:proofErr w:type="spellStart"/>
      <w:r w:rsidRPr="00960F04">
        <w:rPr>
          <w:lang w:val="es-MX"/>
        </w:rPr>
        <w:t>Marat</w:t>
      </w:r>
      <w:proofErr w:type="spellEnd"/>
      <w:r w:rsidRPr="00960F04">
        <w:rPr>
          <w:lang w:val="es-MX"/>
        </w:rPr>
        <w:t xml:space="preserve"> Paredes Montiel y Rómulo Amadeo Figueroa Salmorán.</w:t>
      </w:r>
    </w:p>
    <w:p w14:paraId="6D309BD3" w14:textId="77777777" w:rsidR="00960F04" w:rsidRPr="00960F04" w:rsidRDefault="00960F04" w:rsidP="001130C5">
      <w:pPr>
        <w:spacing w:line="276" w:lineRule="auto"/>
        <w:ind w:left="567"/>
        <w:jc w:val="both"/>
        <w:rPr>
          <w:lang w:val="es-MX"/>
        </w:rPr>
      </w:pPr>
    </w:p>
    <w:p w14:paraId="7CD6D473" w14:textId="37DD763D" w:rsidR="00960F04" w:rsidRPr="00960F04" w:rsidRDefault="00960F04" w:rsidP="001130C5">
      <w:pPr>
        <w:spacing w:line="276" w:lineRule="auto"/>
        <w:ind w:left="567"/>
        <w:jc w:val="both"/>
        <w:rPr>
          <w:lang w:val="es-MX"/>
        </w:rPr>
      </w:pPr>
      <w:r w:rsidRPr="00960F04">
        <w:rPr>
          <w:lang w:val="es-MX"/>
        </w:rPr>
        <w:t>El Tribunal Pleno, el diecisiete de abril en curso, aprobó, con el número 30/2007, la tesis jurisprudencial que antecede. México, Distrito Federal, a diecisiete de abril de dos mil siete.</w:t>
      </w:r>
      <w:r w:rsidR="001130C5">
        <w:rPr>
          <w:rStyle w:val="Refdenotaalpie"/>
          <w:lang w:val="es-MX"/>
        </w:rPr>
        <w:footnoteReference w:id="1"/>
      </w:r>
    </w:p>
    <w:p w14:paraId="58A14812" w14:textId="77777777" w:rsidR="00960F04" w:rsidRPr="00960F04" w:rsidRDefault="00960F04" w:rsidP="001130C5">
      <w:pPr>
        <w:spacing w:line="276" w:lineRule="auto"/>
        <w:ind w:left="567"/>
        <w:jc w:val="both"/>
        <w:rPr>
          <w:lang w:val="es-MX"/>
        </w:rPr>
      </w:pPr>
    </w:p>
    <w:p w14:paraId="7919721F" w14:textId="3E56C3F7" w:rsidR="00960F04" w:rsidRDefault="00960F04" w:rsidP="001130C5">
      <w:pPr>
        <w:spacing w:line="276" w:lineRule="auto"/>
        <w:jc w:val="both"/>
        <w:rPr>
          <w:lang w:val="es-MX"/>
        </w:rPr>
      </w:pPr>
      <w:r w:rsidRPr="00960F04">
        <w:rPr>
          <w:lang w:val="es-MX"/>
        </w:rPr>
        <w:t xml:space="preserve">   </w:t>
      </w:r>
    </w:p>
    <w:p w14:paraId="0FA34BE7" w14:textId="3C15D6BE" w:rsidR="00960F04" w:rsidRDefault="001130C5" w:rsidP="001130C5">
      <w:pPr>
        <w:ind w:firstLine="567"/>
        <w:jc w:val="both"/>
        <w:rPr>
          <w:sz w:val="24"/>
          <w:szCs w:val="24"/>
          <w:lang w:val="es-MX"/>
        </w:rPr>
      </w:pPr>
      <w:r w:rsidRPr="003B3009">
        <w:rPr>
          <w:b/>
          <w:bCs/>
          <w:sz w:val="24"/>
          <w:szCs w:val="24"/>
          <w:lang w:val="es-MX"/>
        </w:rPr>
        <w:t>V.-</w:t>
      </w:r>
      <w:r w:rsidRPr="001130C5">
        <w:rPr>
          <w:sz w:val="24"/>
          <w:szCs w:val="24"/>
          <w:lang w:val="es-MX"/>
        </w:rPr>
        <w:t xml:space="preserve"> Por tal motivo, se tiene a bien presentar la siguiente propuesta de reforma al artículo 129 del Reglamento Interior del Ayuntamiento de Zapotlán el Grande, Jalisco.</w:t>
      </w:r>
    </w:p>
    <w:p w14:paraId="7D9B486C" w14:textId="77777777" w:rsidR="003B3009" w:rsidRPr="001130C5" w:rsidRDefault="003B3009" w:rsidP="001130C5">
      <w:pPr>
        <w:ind w:firstLine="567"/>
        <w:jc w:val="both"/>
        <w:rPr>
          <w:sz w:val="24"/>
          <w:szCs w:val="24"/>
          <w:lang w:val="es-MX"/>
        </w:rPr>
      </w:pPr>
    </w:p>
    <w:p w14:paraId="31A1BFEC" w14:textId="77777777" w:rsidR="001130C5" w:rsidRPr="001130C5" w:rsidRDefault="001130C5" w:rsidP="00981CD8">
      <w:pPr>
        <w:rPr>
          <w:sz w:val="24"/>
          <w:szCs w:val="24"/>
          <w:lang w:val="es-MX"/>
        </w:rPr>
      </w:pPr>
    </w:p>
    <w:tbl>
      <w:tblPr>
        <w:tblStyle w:val="Tablaconcuadrcula"/>
        <w:tblW w:w="0" w:type="auto"/>
        <w:tblLook w:val="04A0" w:firstRow="1" w:lastRow="0" w:firstColumn="1" w:lastColumn="0" w:noHBand="0" w:noVBand="1"/>
      </w:tblPr>
      <w:tblGrid>
        <w:gridCol w:w="4414"/>
        <w:gridCol w:w="4414"/>
      </w:tblGrid>
      <w:tr w:rsidR="001130C5" w:rsidRPr="003B3009" w14:paraId="5E8031A9" w14:textId="77777777" w:rsidTr="001130C5">
        <w:tc>
          <w:tcPr>
            <w:tcW w:w="4414" w:type="dxa"/>
          </w:tcPr>
          <w:p w14:paraId="1C9DB7F9" w14:textId="707FFC41" w:rsidR="001130C5" w:rsidRPr="003B3009" w:rsidRDefault="001130C5" w:rsidP="001130C5">
            <w:pPr>
              <w:jc w:val="center"/>
              <w:rPr>
                <w:b/>
                <w:bCs/>
                <w:sz w:val="24"/>
                <w:szCs w:val="24"/>
                <w:lang w:val="es-MX"/>
              </w:rPr>
            </w:pPr>
            <w:r w:rsidRPr="003B3009">
              <w:rPr>
                <w:b/>
                <w:bCs/>
                <w:sz w:val="24"/>
                <w:szCs w:val="24"/>
                <w:lang w:val="es-MX"/>
              </w:rPr>
              <w:t>TEXTO VIGENTE</w:t>
            </w:r>
          </w:p>
        </w:tc>
        <w:tc>
          <w:tcPr>
            <w:tcW w:w="4414" w:type="dxa"/>
          </w:tcPr>
          <w:p w14:paraId="69A79EB3" w14:textId="329FA828" w:rsidR="001130C5" w:rsidRPr="003B3009" w:rsidRDefault="001130C5" w:rsidP="001130C5">
            <w:pPr>
              <w:jc w:val="center"/>
              <w:rPr>
                <w:b/>
                <w:bCs/>
                <w:sz w:val="24"/>
                <w:szCs w:val="24"/>
                <w:lang w:val="es-MX"/>
              </w:rPr>
            </w:pPr>
            <w:r w:rsidRPr="003B3009">
              <w:rPr>
                <w:b/>
                <w:bCs/>
                <w:sz w:val="24"/>
                <w:szCs w:val="24"/>
                <w:lang w:val="es-MX"/>
              </w:rPr>
              <w:t>PROPUESTA DE REFORMA</w:t>
            </w:r>
          </w:p>
        </w:tc>
      </w:tr>
      <w:tr w:rsidR="001130C5" w:rsidRPr="00877FF4" w14:paraId="7DE9CD45" w14:textId="77777777" w:rsidTr="001130C5">
        <w:tc>
          <w:tcPr>
            <w:tcW w:w="4414" w:type="dxa"/>
          </w:tcPr>
          <w:p w14:paraId="5BB34D45" w14:textId="77777777" w:rsidR="001130C5" w:rsidRPr="003B3009" w:rsidRDefault="001130C5" w:rsidP="00981CD8">
            <w:pPr>
              <w:rPr>
                <w:sz w:val="24"/>
                <w:szCs w:val="24"/>
                <w:lang w:val="es-MX"/>
              </w:rPr>
            </w:pPr>
          </w:p>
          <w:p w14:paraId="77D1901E" w14:textId="77777777" w:rsidR="001130C5" w:rsidRPr="003B3009" w:rsidRDefault="001130C5" w:rsidP="00981CD8">
            <w:pPr>
              <w:rPr>
                <w:b/>
                <w:bCs/>
                <w:sz w:val="24"/>
                <w:szCs w:val="24"/>
                <w:lang w:val="es-MX"/>
              </w:rPr>
            </w:pPr>
            <w:r w:rsidRPr="003B3009">
              <w:rPr>
                <w:b/>
                <w:bCs/>
                <w:sz w:val="24"/>
                <w:szCs w:val="24"/>
                <w:lang w:val="es-MX"/>
              </w:rPr>
              <w:t xml:space="preserve">Artículo 129- </w:t>
            </w:r>
          </w:p>
          <w:p w14:paraId="42625E2A" w14:textId="267644F7" w:rsidR="001130C5" w:rsidRPr="003B3009" w:rsidRDefault="001130C5" w:rsidP="001130C5">
            <w:pPr>
              <w:pStyle w:val="Prrafodelista"/>
              <w:numPr>
                <w:ilvl w:val="0"/>
                <w:numId w:val="2"/>
              </w:numPr>
              <w:jc w:val="both"/>
              <w:rPr>
                <w:sz w:val="24"/>
                <w:szCs w:val="24"/>
                <w:lang w:val="es-MX"/>
              </w:rPr>
            </w:pPr>
            <w:r w:rsidRPr="003B3009">
              <w:rPr>
                <w:sz w:val="24"/>
                <w:szCs w:val="24"/>
                <w:lang w:val="es-MX"/>
              </w:rPr>
              <w:t xml:space="preserve">Las votaciones se hacen en forma económica, nominal o por cédula. </w:t>
            </w:r>
          </w:p>
          <w:p w14:paraId="49315FCE" w14:textId="77777777" w:rsidR="001130C5" w:rsidRPr="003B3009" w:rsidRDefault="001130C5" w:rsidP="001130C5">
            <w:pPr>
              <w:pStyle w:val="Prrafodelista"/>
              <w:ind w:left="732"/>
              <w:jc w:val="both"/>
              <w:rPr>
                <w:sz w:val="24"/>
                <w:szCs w:val="24"/>
                <w:lang w:val="es-MX"/>
              </w:rPr>
            </w:pPr>
          </w:p>
          <w:p w14:paraId="271107AE" w14:textId="1951D4F0" w:rsidR="001130C5" w:rsidRPr="003B3009" w:rsidRDefault="001130C5" w:rsidP="001130C5">
            <w:pPr>
              <w:pStyle w:val="Prrafodelista"/>
              <w:numPr>
                <w:ilvl w:val="0"/>
                <w:numId w:val="2"/>
              </w:numPr>
              <w:jc w:val="both"/>
              <w:rPr>
                <w:sz w:val="24"/>
                <w:szCs w:val="24"/>
                <w:lang w:val="es-MX"/>
              </w:rPr>
            </w:pPr>
            <w:r w:rsidRPr="003B3009">
              <w:rPr>
                <w:sz w:val="24"/>
                <w:szCs w:val="24"/>
                <w:lang w:val="es-MX"/>
              </w:rPr>
              <w:t xml:space="preserve">El sentido del voto puede ser: </w:t>
            </w:r>
          </w:p>
          <w:p w14:paraId="361E4594" w14:textId="77777777" w:rsidR="001130C5" w:rsidRPr="003B3009" w:rsidRDefault="001130C5" w:rsidP="00981CD8">
            <w:pPr>
              <w:rPr>
                <w:sz w:val="24"/>
                <w:szCs w:val="24"/>
                <w:lang w:val="es-MX"/>
              </w:rPr>
            </w:pPr>
            <w:r w:rsidRPr="003B3009">
              <w:rPr>
                <w:sz w:val="24"/>
                <w:szCs w:val="24"/>
                <w:lang w:val="es-MX"/>
              </w:rPr>
              <w:t>I. A favor;</w:t>
            </w:r>
          </w:p>
          <w:p w14:paraId="54264579" w14:textId="31557ACC" w:rsidR="001130C5" w:rsidRPr="003B3009" w:rsidRDefault="001130C5" w:rsidP="00981CD8">
            <w:pPr>
              <w:rPr>
                <w:sz w:val="24"/>
                <w:szCs w:val="24"/>
                <w:lang w:val="es-MX"/>
              </w:rPr>
            </w:pPr>
            <w:r w:rsidRPr="003B3009">
              <w:rPr>
                <w:sz w:val="24"/>
                <w:szCs w:val="24"/>
                <w:lang w:val="es-MX"/>
              </w:rPr>
              <w:t>II. En contra; y</w:t>
            </w:r>
          </w:p>
          <w:p w14:paraId="0E74C302" w14:textId="77777777" w:rsidR="001130C5" w:rsidRPr="003B3009" w:rsidRDefault="001130C5" w:rsidP="00981CD8">
            <w:pPr>
              <w:rPr>
                <w:sz w:val="24"/>
                <w:szCs w:val="24"/>
                <w:lang w:val="es-MX"/>
              </w:rPr>
            </w:pPr>
            <w:r w:rsidRPr="003B3009">
              <w:rPr>
                <w:sz w:val="24"/>
                <w:szCs w:val="24"/>
                <w:lang w:val="es-MX"/>
              </w:rPr>
              <w:t>III. Abstención.</w:t>
            </w:r>
          </w:p>
          <w:p w14:paraId="76FE0B2A" w14:textId="680450F7" w:rsidR="001130C5" w:rsidRPr="003B3009" w:rsidRDefault="001130C5" w:rsidP="00981CD8">
            <w:pPr>
              <w:rPr>
                <w:sz w:val="24"/>
                <w:szCs w:val="24"/>
                <w:lang w:val="es-MX"/>
              </w:rPr>
            </w:pPr>
          </w:p>
        </w:tc>
        <w:tc>
          <w:tcPr>
            <w:tcW w:w="4414" w:type="dxa"/>
          </w:tcPr>
          <w:p w14:paraId="3FDB9120" w14:textId="77777777" w:rsidR="001130C5" w:rsidRPr="003B3009" w:rsidRDefault="001130C5" w:rsidP="00981CD8">
            <w:pPr>
              <w:rPr>
                <w:sz w:val="24"/>
                <w:szCs w:val="24"/>
                <w:lang w:val="es-MX"/>
              </w:rPr>
            </w:pPr>
          </w:p>
          <w:p w14:paraId="35D2DD17" w14:textId="77777777" w:rsidR="001130C5" w:rsidRPr="003B3009" w:rsidRDefault="001130C5" w:rsidP="001130C5">
            <w:pPr>
              <w:rPr>
                <w:b/>
                <w:bCs/>
                <w:sz w:val="24"/>
                <w:szCs w:val="24"/>
                <w:lang w:val="es-MX"/>
              </w:rPr>
            </w:pPr>
            <w:r w:rsidRPr="003B3009">
              <w:rPr>
                <w:b/>
                <w:bCs/>
                <w:sz w:val="24"/>
                <w:szCs w:val="24"/>
                <w:lang w:val="es-MX"/>
              </w:rPr>
              <w:t xml:space="preserve">Artículo 129- </w:t>
            </w:r>
          </w:p>
          <w:p w14:paraId="7578951E" w14:textId="77777777" w:rsidR="001130C5" w:rsidRPr="003B3009" w:rsidRDefault="001130C5" w:rsidP="001130C5">
            <w:pPr>
              <w:pStyle w:val="Prrafodelista"/>
              <w:numPr>
                <w:ilvl w:val="0"/>
                <w:numId w:val="3"/>
              </w:numPr>
              <w:jc w:val="both"/>
              <w:rPr>
                <w:sz w:val="24"/>
                <w:szCs w:val="24"/>
                <w:lang w:val="es-MX"/>
              </w:rPr>
            </w:pPr>
            <w:r w:rsidRPr="003B3009">
              <w:rPr>
                <w:sz w:val="24"/>
                <w:szCs w:val="24"/>
                <w:lang w:val="es-MX"/>
              </w:rPr>
              <w:t xml:space="preserve">Las votaciones se hacen en forma económica, nominal o por cédula. </w:t>
            </w:r>
          </w:p>
          <w:p w14:paraId="2DFD9C6E" w14:textId="77777777" w:rsidR="001130C5" w:rsidRPr="003B3009" w:rsidRDefault="001130C5" w:rsidP="001130C5">
            <w:pPr>
              <w:pStyle w:val="Prrafodelista"/>
              <w:ind w:left="732"/>
              <w:jc w:val="both"/>
              <w:rPr>
                <w:sz w:val="24"/>
                <w:szCs w:val="24"/>
                <w:lang w:val="es-MX"/>
              </w:rPr>
            </w:pPr>
          </w:p>
          <w:p w14:paraId="7566FD9A" w14:textId="77777777" w:rsidR="001130C5" w:rsidRPr="003B3009" w:rsidRDefault="001130C5" w:rsidP="001130C5">
            <w:pPr>
              <w:pStyle w:val="Prrafodelista"/>
              <w:numPr>
                <w:ilvl w:val="0"/>
                <w:numId w:val="3"/>
              </w:numPr>
              <w:jc w:val="both"/>
              <w:rPr>
                <w:sz w:val="24"/>
                <w:szCs w:val="24"/>
                <w:lang w:val="es-MX"/>
              </w:rPr>
            </w:pPr>
            <w:r w:rsidRPr="003B3009">
              <w:rPr>
                <w:sz w:val="24"/>
                <w:szCs w:val="24"/>
                <w:lang w:val="es-MX"/>
              </w:rPr>
              <w:t xml:space="preserve">El sentido del voto puede ser: </w:t>
            </w:r>
          </w:p>
          <w:p w14:paraId="0B1BEE64" w14:textId="77777777" w:rsidR="001130C5" w:rsidRPr="003B3009" w:rsidRDefault="001130C5" w:rsidP="001130C5">
            <w:pPr>
              <w:rPr>
                <w:sz w:val="24"/>
                <w:szCs w:val="24"/>
                <w:lang w:val="es-MX"/>
              </w:rPr>
            </w:pPr>
            <w:r w:rsidRPr="003B3009">
              <w:rPr>
                <w:sz w:val="24"/>
                <w:szCs w:val="24"/>
                <w:lang w:val="es-MX"/>
              </w:rPr>
              <w:t>I. A favor;</w:t>
            </w:r>
          </w:p>
          <w:p w14:paraId="4995261A" w14:textId="77777777" w:rsidR="001130C5" w:rsidRPr="003B3009" w:rsidRDefault="001130C5" w:rsidP="001130C5">
            <w:pPr>
              <w:rPr>
                <w:sz w:val="24"/>
                <w:szCs w:val="24"/>
                <w:lang w:val="es-MX"/>
              </w:rPr>
            </w:pPr>
            <w:r w:rsidRPr="003B3009">
              <w:rPr>
                <w:sz w:val="24"/>
                <w:szCs w:val="24"/>
                <w:lang w:val="es-MX"/>
              </w:rPr>
              <w:t>II. En contra; y</w:t>
            </w:r>
          </w:p>
          <w:p w14:paraId="1B3E1349" w14:textId="77777777" w:rsidR="001130C5" w:rsidRPr="003B3009" w:rsidRDefault="001130C5" w:rsidP="00981CD8">
            <w:pPr>
              <w:rPr>
                <w:sz w:val="24"/>
                <w:szCs w:val="24"/>
                <w:lang w:val="es-MX"/>
              </w:rPr>
            </w:pPr>
            <w:r w:rsidRPr="003B3009">
              <w:rPr>
                <w:sz w:val="24"/>
                <w:szCs w:val="24"/>
                <w:lang w:val="es-MX"/>
              </w:rPr>
              <w:t>III. Abstención.</w:t>
            </w:r>
          </w:p>
          <w:p w14:paraId="59E488A0" w14:textId="77777777" w:rsidR="001130C5" w:rsidRPr="003B3009" w:rsidRDefault="001130C5" w:rsidP="00981CD8">
            <w:pPr>
              <w:rPr>
                <w:sz w:val="24"/>
                <w:szCs w:val="24"/>
                <w:lang w:val="es-MX"/>
              </w:rPr>
            </w:pPr>
          </w:p>
          <w:p w14:paraId="1DA752B9" w14:textId="1BD2D9C9" w:rsidR="001130C5" w:rsidRPr="003B3009" w:rsidRDefault="001130C5" w:rsidP="001130C5">
            <w:pPr>
              <w:pStyle w:val="Prrafodelista"/>
              <w:numPr>
                <w:ilvl w:val="0"/>
                <w:numId w:val="3"/>
              </w:numPr>
              <w:jc w:val="both"/>
              <w:rPr>
                <w:b/>
                <w:bCs/>
                <w:snapToGrid w:val="0"/>
                <w:sz w:val="24"/>
                <w:szCs w:val="24"/>
                <w:lang w:val="es-MX"/>
              </w:rPr>
            </w:pPr>
            <w:r w:rsidRPr="003B3009">
              <w:rPr>
                <w:b/>
                <w:bCs/>
                <w:snapToGrid w:val="0"/>
                <w:sz w:val="24"/>
                <w:szCs w:val="24"/>
                <w:lang w:val="es-MX"/>
              </w:rPr>
              <w:t>Para la determinación de los resultados correspondientes sólo se computarán los votos a favor y en contra; las abstenciones se declaran por separado y no se suman a la mayoría.</w:t>
            </w:r>
          </w:p>
          <w:p w14:paraId="0AFF443F" w14:textId="371D339D" w:rsidR="001130C5" w:rsidRPr="003B3009" w:rsidRDefault="001130C5" w:rsidP="001130C5">
            <w:pPr>
              <w:pStyle w:val="Prrafodelista"/>
              <w:ind w:left="732"/>
              <w:rPr>
                <w:sz w:val="24"/>
                <w:szCs w:val="24"/>
                <w:lang w:val="es-MX"/>
              </w:rPr>
            </w:pPr>
          </w:p>
        </w:tc>
      </w:tr>
    </w:tbl>
    <w:p w14:paraId="02F317B2" w14:textId="77777777" w:rsidR="001130C5" w:rsidRDefault="001130C5" w:rsidP="00981CD8">
      <w:pPr>
        <w:rPr>
          <w:lang w:val="es-MX"/>
        </w:rPr>
      </w:pPr>
    </w:p>
    <w:p w14:paraId="3CEE46B7" w14:textId="77777777" w:rsidR="001130C5" w:rsidRPr="00F5048E" w:rsidRDefault="001130C5" w:rsidP="00F5048E">
      <w:pPr>
        <w:jc w:val="both"/>
        <w:rPr>
          <w:sz w:val="24"/>
          <w:szCs w:val="24"/>
          <w:lang w:val="es-MX"/>
        </w:rPr>
      </w:pPr>
    </w:p>
    <w:p w14:paraId="307DAFDF" w14:textId="77777777" w:rsidR="00157236" w:rsidRDefault="00877FF4" w:rsidP="00F5048E">
      <w:pPr>
        <w:jc w:val="both"/>
        <w:rPr>
          <w:sz w:val="24"/>
          <w:szCs w:val="24"/>
          <w:lang w:val="es-MX"/>
        </w:rPr>
      </w:pPr>
      <w:r w:rsidRPr="00F5048E">
        <w:rPr>
          <w:sz w:val="24"/>
          <w:szCs w:val="24"/>
          <w:lang w:val="es-MX"/>
        </w:rPr>
        <w:tab/>
        <w:t xml:space="preserve">VI.- De antemano, la subordinación </w:t>
      </w:r>
      <w:r w:rsidR="00F5048E" w:rsidRPr="00F5048E">
        <w:rPr>
          <w:sz w:val="24"/>
          <w:szCs w:val="24"/>
          <w:lang w:val="es-MX"/>
        </w:rPr>
        <w:t>jerárquica</w:t>
      </w:r>
      <w:r w:rsidRPr="00F5048E">
        <w:rPr>
          <w:sz w:val="24"/>
          <w:szCs w:val="24"/>
          <w:lang w:val="es-MX"/>
        </w:rPr>
        <w:t xml:space="preserve"> </w:t>
      </w:r>
      <w:r w:rsidRPr="00157236">
        <w:rPr>
          <w:b/>
          <w:sz w:val="24"/>
          <w:szCs w:val="24"/>
          <w:lang w:val="es-MX"/>
        </w:rPr>
        <w:t>deriva implícitamente del principio de legalidad consagrado en los artículos 14 y 16 Constitucionales</w:t>
      </w:r>
      <w:r w:rsidRPr="00F5048E">
        <w:rPr>
          <w:sz w:val="24"/>
          <w:szCs w:val="24"/>
          <w:lang w:val="es-MX"/>
        </w:rPr>
        <w:t xml:space="preserve">. Este principio de legalidad aplicado en el contexto de la administración pública establece que todos los actos, procesos, procedimientos y acciones deberán </w:t>
      </w:r>
      <w:r w:rsidRPr="00157236">
        <w:rPr>
          <w:sz w:val="24"/>
          <w:szCs w:val="24"/>
          <w:lang w:val="es-MX"/>
        </w:rPr>
        <w:t>someterse estrictamente a lo estipulado en la ley, por lo que no puede haber contradicciones en su interpretación y aplicación</w:t>
      </w:r>
      <w:r w:rsidR="00F5048E" w:rsidRPr="00157236">
        <w:rPr>
          <w:sz w:val="24"/>
          <w:szCs w:val="24"/>
          <w:lang w:val="es-MX"/>
        </w:rPr>
        <w:t xml:space="preserve">. Por lo tanto, esta propuesta de </w:t>
      </w:r>
    </w:p>
    <w:p w14:paraId="445AB5DF" w14:textId="77777777" w:rsidR="00157236" w:rsidRDefault="00157236" w:rsidP="00F5048E">
      <w:pPr>
        <w:jc w:val="both"/>
        <w:rPr>
          <w:sz w:val="24"/>
          <w:szCs w:val="24"/>
          <w:lang w:val="es-MX"/>
        </w:rPr>
      </w:pPr>
    </w:p>
    <w:p w14:paraId="066913D2" w14:textId="77777777" w:rsidR="00157236" w:rsidRDefault="00157236" w:rsidP="00F5048E">
      <w:pPr>
        <w:jc w:val="both"/>
        <w:rPr>
          <w:sz w:val="24"/>
          <w:szCs w:val="24"/>
          <w:lang w:val="es-MX"/>
        </w:rPr>
      </w:pPr>
    </w:p>
    <w:p w14:paraId="400220DF" w14:textId="67000267" w:rsidR="00877FF4" w:rsidRPr="00F5048E" w:rsidRDefault="00F5048E" w:rsidP="00F5048E">
      <w:pPr>
        <w:jc w:val="both"/>
        <w:rPr>
          <w:sz w:val="24"/>
          <w:szCs w:val="24"/>
          <w:lang w:val="es-MX"/>
        </w:rPr>
      </w:pPr>
      <w:r w:rsidRPr="00157236">
        <w:rPr>
          <w:sz w:val="24"/>
          <w:szCs w:val="24"/>
          <w:lang w:val="es-MX"/>
        </w:rPr>
        <w:t xml:space="preserve">texto para adicionar </w:t>
      </w:r>
      <w:r w:rsidRPr="00F5048E">
        <w:rPr>
          <w:sz w:val="24"/>
          <w:szCs w:val="24"/>
          <w:lang w:val="es-MX"/>
        </w:rPr>
        <w:t>al artículo 129 del Reglamento Interior del Ayuntamiento de Zapotlán el Grande, evitará lagunas al momento de su interpretación y aplicación, por lo que estaremos cumplimento material y formalmente lo que sustancialmente establece el artículo 35 de la Ley del Gobierno y la Administración Pública.</w:t>
      </w:r>
    </w:p>
    <w:p w14:paraId="024AFDA7" w14:textId="77777777" w:rsidR="00F5048E" w:rsidRPr="00F5048E" w:rsidRDefault="00F5048E" w:rsidP="00F5048E">
      <w:pPr>
        <w:jc w:val="both"/>
        <w:rPr>
          <w:sz w:val="24"/>
          <w:szCs w:val="24"/>
          <w:lang w:val="es-MX"/>
        </w:rPr>
      </w:pPr>
    </w:p>
    <w:p w14:paraId="7DEA15AA" w14:textId="77777777" w:rsidR="00F5048E" w:rsidRDefault="00F5048E">
      <w:pPr>
        <w:rPr>
          <w:lang w:val="es-MX"/>
        </w:rPr>
      </w:pPr>
    </w:p>
    <w:p w14:paraId="623DD87C" w14:textId="7DEB6562" w:rsidR="00877FF4" w:rsidRDefault="00877FF4">
      <w:pPr>
        <w:rPr>
          <w:lang w:val="es-MX"/>
        </w:rPr>
      </w:pPr>
      <w:r>
        <w:rPr>
          <w:lang w:val="es-MX"/>
        </w:rPr>
        <w:t xml:space="preserve">  </w:t>
      </w:r>
    </w:p>
    <w:p w14:paraId="54E8BAAF" w14:textId="5E2AC7C6" w:rsidR="003B3009" w:rsidRPr="004B4066" w:rsidRDefault="003B3009" w:rsidP="003B3009">
      <w:pPr>
        <w:spacing w:line="276" w:lineRule="auto"/>
        <w:jc w:val="both"/>
        <w:rPr>
          <w:rFonts w:cs="Arial"/>
          <w:sz w:val="24"/>
          <w:szCs w:val="24"/>
          <w:lang w:val="es-MX"/>
        </w:rPr>
      </w:pPr>
      <w:r w:rsidRPr="004B4066">
        <w:rPr>
          <w:rFonts w:cs="Arial"/>
          <w:bCs/>
          <w:sz w:val="24"/>
          <w:szCs w:val="24"/>
          <w:lang w:val="es-MX"/>
        </w:rPr>
        <w:t xml:space="preserve">Para lo cual propongo </w:t>
      </w:r>
      <w:r w:rsidRPr="004B4066">
        <w:rPr>
          <w:rFonts w:cs="Arial"/>
          <w:sz w:val="24"/>
          <w:szCs w:val="24"/>
          <w:lang w:val="es-MX"/>
        </w:rPr>
        <w:t xml:space="preserve">siguiente </w:t>
      </w:r>
      <w:r w:rsidRPr="004B4066">
        <w:rPr>
          <w:rFonts w:cs="Arial"/>
          <w:b/>
          <w:sz w:val="24"/>
          <w:szCs w:val="24"/>
          <w:lang w:val="es-MX"/>
        </w:rPr>
        <w:t>INICIATIVA DE ORDENAMIENTO</w:t>
      </w:r>
      <w:r>
        <w:rPr>
          <w:rFonts w:cs="Arial"/>
          <w:b/>
          <w:sz w:val="24"/>
          <w:szCs w:val="24"/>
          <w:lang w:val="es-MX"/>
        </w:rPr>
        <w:t xml:space="preserve"> MUNICIPAL</w:t>
      </w:r>
      <w:r w:rsidRPr="004B4066">
        <w:rPr>
          <w:rFonts w:cs="Arial"/>
          <w:b/>
          <w:sz w:val="24"/>
          <w:szCs w:val="24"/>
          <w:lang w:val="es-MX"/>
        </w:rPr>
        <w:t xml:space="preserve"> </w:t>
      </w:r>
      <w:r>
        <w:rPr>
          <w:rFonts w:cs="Arial"/>
          <w:b/>
          <w:sz w:val="24"/>
          <w:szCs w:val="24"/>
          <w:lang w:val="es-MX"/>
        </w:rPr>
        <w:t>QUE REFORMA EL ARTÍCULO 129 DEL REGLAMENTO INTERIOR DEL AYUNTAMIENTO DE ZAPOTLÁN EL GRANDE</w:t>
      </w:r>
      <w:r w:rsidRPr="004B4066">
        <w:rPr>
          <w:rFonts w:cs="Arial"/>
          <w:b/>
          <w:sz w:val="24"/>
          <w:szCs w:val="24"/>
          <w:lang w:val="es-MX"/>
        </w:rPr>
        <w:t>,</w:t>
      </w:r>
      <w:r>
        <w:rPr>
          <w:rFonts w:cs="Arial"/>
          <w:b/>
          <w:sz w:val="24"/>
          <w:szCs w:val="24"/>
          <w:lang w:val="es-MX"/>
        </w:rPr>
        <w:t xml:space="preserve"> JALISCO</w:t>
      </w:r>
      <w:r w:rsidRPr="004B4066">
        <w:rPr>
          <w:rFonts w:cs="Arial"/>
          <w:b/>
          <w:sz w:val="24"/>
          <w:szCs w:val="24"/>
          <w:lang w:val="es-MX"/>
        </w:rPr>
        <w:t>,</w:t>
      </w:r>
      <w:r w:rsidRPr="004B4066">
        <w:rPr>
          <w:rFonts w:cs="Arial"/>
          <w:b/>
          <w:bCs/>
          <w:sz w:val="24"/>
          <w:szCs w:val="24"/>
          <w:lang w:val="es-MX"/>
        </w:rPr>
        <w:t xml:space="preserve"> </w:t>
      </w:r>
      <w:r w:rsidRPr="004B4066">
        <w:rPr>
          <w:rFonts w:cs="Arial"/>
          <w:sz w:val="24"/>
          <w:szCs w:val="24"/>
          <w:lang w:val="es-MX"/>
        </w:rPr>
        <w:t>de conformidad al acuerdo siguiente:</w:t>
      </w:r>
    </w:p>
    <w:p w14:paraId="7F4E9E84" w14:textId="77777777" w:rsidR="003B3009" w:rsidRPr="004B4066" w:rsidRDefault="003B3009" w:rsidP="003B3009">
      <w:pPr>
        <w:spacing w:line="276" w:lineRule="auto"/>
        <w:jc w:val="both"/>
        <w:rPr>
          <w:rFonts w:cs="Arial"/>
          <w:sz w:val="24"/>
          <w:szCs w:val="24"/>
          <w:lang w:val="es-MX"/>
        </w:rPr>
      </w:pPr>
    </w:p>
    <w:p w14:paraId="12934E31" w14:textId="77777777" w:rsidR="00F5048E" w:rsidRDefault="00F5048E" w:rsidP="003B3009">
      <w:pPr>
        <w:spacing w:line="276" w:lineRule="auto"/>
        <w:jc w:val="both"/>
        <w:rPr>
          <w:rFonts w:cs="Arial"/>
          <w:b/>
          <w:bCs/>
          <w:sz w:val="24"/>
          <w:szCs w:val="24"/>
          <w:lang w:val="es-MX"/>
        </w:rPr>
      </w:pPr>
    </w:p>
    <w:p w14:paraId="06243115" w14:textId="33B3C4D7" w:rsidR="003B3009" w:rsidRPr="004B4066" w:rsidRDefault="003B3009" w:rsidP="003B3009">
      <w:pPr>
        <w:spacing w:line="276" w:lineRule="auto"/>
        <w:jc w:val="both"/>
        <w:rPr>
          <w:rFonts w:cs="Arial"/>
          <w:bCs/>
          <w:sz w:val="24"/>
          <w:szCs w:val="24"/>
          <w:lang w:val="es-MX"/>
        </w:rPr>
      </w:pPr>
      <w:r w:rsidRPr="00F5048E">
        <w:rPr>
          <w:rFonts w:cs="Arial"/>
          <w:b/>
          <w:bCs/>
          <w:sz w:val="24"/>
          <w:szCs w:val="24"/>
          <w:lang w:val="es-MX"/>
        </w:rPr>
        <w:t xml:space="preserve">ÚNICO: </w:t>
      </w:r>
      <w:r w:rsidRPr="00F5048E">
        <w:rPr>
          <w:rFonts w:cs="Arial"/>
          <w:bCs/>
          <w:sz w:val="24"/>
          <w:szCs w:val="24"/>
          <w:lang w:val="es-MX"/>
        </w:rPr>
        <w:t>Se turne a la Comisión Edilicia de</w:t>
      </w:r>
      <w:r w:rsidRPr="00F5048E">
        <w:rPr>
          <w:iCs/>
          <w:sz w:val="24"/>
          <w:szCs w:val="24"/>
          <w:lang w:val="es-MX"/>
        </w:rPr>
        <w:t xml:space="preserve"> </w:t>
      </w:r>
      <w:r w:rsidRPr="00F5048E">
        <w:rPr>
          <w:rFonts w:cs="Arial"/>
          <w:bCs/>
          <w:sz w:val="24"/>
          <w:szCs w:val="24"/>
          <w:lang w:val="es-MX"/>
        </w:rPr>
        <w:t>Reglamentos y Gobernación para su estudio y dictaminación, y se</w:t>
      </w:r>
      <w:r w:rsidR="00F5048E" w:rsidRPr="00F5048E">
        <w:rPr>
          <w:rFonts w:cs="Arial"/>
          <w:bCs/>
          <w:sz w:val="24"/>
          <w:szCs w:val="24"/>
          <w:lang w:val="es-MX"/>
        </w:rPr>
        <w:t xml:space="preserve"> me</w:t>
      </w:r>
      <w:r w:rsidRPr="00F5048E">
        <w:rPr>
          <w:rFonts w:cs="Arial"/>
          <w:bCs/>
          <w:sz w:val="24"/>
          <w:szCs w:val="24"/>
          <w:lang w:val="es-MX"/>
        </w:rPr>
        <w:t xml:space="preserve"> adhiera a los trabajos edilicios </w:t>
      </w:r>
      <w:r w:rsidR="00F5048E" w:rsidRPr="00F5048E">
        <w:rPr>
          <w:rFonts w:cs="Arial"/>
          <w:bCs/>
          <w:sz w:val="24"/>
          <w:szCs w:val="24"/>
          <w:lang w:val="es-MX"/>
        </w:rPr>
        <w:t xml:space="preserve">como </w:t>
      </w:r>
      <w:r w:rsidRPr="00F5048E">
        <w:rPr>
          <w:rFonts w:cs="Arial"/>
          <w:bCs/>
          <w:sz w:val="24"/>
          <w:szCs w:val="24"/>
          <w:lang w:val="es-MX"/>
        </w:rPr>
        <w:t>autor de la iniciativa.</w:t>
      </w:r>
    </w:p>
    <w:p w14:paraId="357BA14F" w14:textId="77777777" w:rsidR="003B3009" w:rsidRDefault="003B3009" w:rsidP="003B3009">
      <w:pPr>
        <w:autoSpaceDE w:val="0"/>
        <w:autoSpaceDN w:val="0"/>
        <w:adjustRightInd w:val="0"/>
        <w:spacing w:line="276" w:lineRule="auto"/>
        <w:jc w:val="both"/>
        <w:rPr>
          <w:rFonts w:eastAsia="Calibri" w:cs="Arial"/>
          <w:bCs/>
          <w:sz w:val="24"/>
          <w:szCs w:val="24"/>
          <w:lang w:val="es-MX"/>
        </w:rPr>
      </w:pPr>
    </w:p>
    <w:p w14:paraId="62E833C1" w14:textId="77777777" w:rsidR="003B3009" w:rsidRDefault="003B3009" w:rsidP="003B3009">
      <w:pPr>
        <w:ind w:firstLine="708"/>
        <w:jc w:val="both"/>
        <w:rPr>
          <w:rFonts w:eastAsiaTheme="minorHAnsi" w:cs="Arial"/>
          <w:iCs/>
          <w:sz w:val="24"/>
          <w:szCs w:val="24"/>
          <w:lang w:val="es-MX"/>
        </w:rPr>
      </w:pPr>
    </w:p>
    <w:p w14:paraId="520C161D" w14:textId="77777777" w:rsidR="00F2202F" w:rsidRPr="006E0EA5" w:rsidRDefault="00F2202F" w:rsidP="003B3009">
      <w:pPr>
        <w:ind w:firstLine="708"/>
        <w:jc w:val="both"/>
        <w:rPr>
          <w:rFonts w:eastAsiaTheme="minorHAnsi" w:cs="Arial"/>
          <w:iCs/>
          <w:sz w:val="24"/>
          <w:szCs w:val="24"/>
          <w:lang w:val="es-MX"/>
        </w:rPr>
      </w:pPr>
    </w:p>
    <w:p w14:paraId="01166E13" w14:textId="77777777" w:rsidR="003B3009" w:rsidRPr="000D7BC5" w:rsidRDefault="003B3009" w:rsidP="003B3009">
      <w:pPr>
        <w:ind w:firstLine="708"/>
        <w:jc w:val="center"/>
        <w:rPr>
          <w:rFonts w:eastAsia="Calibri" w:cs="Arial"/>
          <w:color w:val="000000" w:themeColor="text1"/>
          <w:sz w:val="18"/>
          <w:szCs w:val="24"/>
          <w:lang w:val="pt-BR"/>
        </w:rPr>
      </w:pPr>
      <w:r w:rsidRPr="000D7BC5">
        <w:rPr>
          <w:rFonts w:eastAsia="Calibri" w:cs="Arial"/>
          <w:color w:val="000000" w:themeColor="text1"/>
          <w:sz w:val="18"/>
          <w:szCs w:val="24"/>
          <w:lang w:val="pt-BR"/>
        </w:rPr>
        <w:t>A T E N T A M E N T E</w:t>
      </w:r>
    </w:p>
    <w:p w14:paraId="54898526" w14:textId="77777777" w:rsidR="003B3009" w:rsidRPr="000D7BC5" w:rsidRDefault="003B3009" w:rsidP="003B3009">
      <w:pPr>
        <w:jc w:val="center"/>
        <w:rPr>
          <w:rFonts w:eastAsia="Calibri" w:cs="Arial"/>
          <w:b/>
          <w:color w:val="000000" w:themeColor="text1"/>
          <w:sz w:val="18"/>
          <w:szCs w:val="24"/>
          <w:lang w:val="pt-BR"/>
        </w:rPr>
      </w:pPr>
      <w:r w:rsidRPr="000D7BC5">
        <w:rPr>
          <w:rFonts w:eastAsia="Calibri" w:cs="Arial"/>
          <w:b/>
          <w:color w:val="000000" w:themeColor="text1"/>
          <w:sz w:val="18"/>
          <w:szCs w:val="24"/>
          <w:lang w:val="pt-BR"/>
        </w:rPr>
        <w:t>“2024, AÑO DEL 85 ANIVERSARIO DE LA ESCUELA SECUNDARIA FEDERAL BENITO JUÁREZ”</w:t>
      </w:r>
    </w:p>
    <w:p w14:paraId="3AC5F020" w14:textId="77777777" w:rsidR="003B3009" w:rsidRPr="000D7BC5" w:rsidRDefault="003B3009" w:rsidP="003B3009">
      <w:pPr>
        <w:pStyle w:val="Sinespaciado"/>
        <w:jc w:val="center"/>
        <w:rPr>
          <w:rFonts w:cs="Arial"/>
          <w:b/>
          <w:bCs/>
          <w:i/>
          <w:color w:val="000000" w:themeColor="text1"/>
          <w:sz w:val="18"/>
          <w:szCs w:val="24"/>
          <w:lang w:val="es-MX"/>
        </w:rPr>
      </w:pPr>
      <w:r w:rsidRPr="000D7BC5">
        <w:rPr>
          <w:rFonts w:cs="Arial"/>
          <w:b/>
          <w:bCs/>
          <w:i/>
          <w:color w:val="000000" w:themeColor="text1"/>
          <w:sz w:val="18"/>
          <w:szCs w:val="24"/>
          <w:lang w:val="es-MX"/>
        </w:rPr>
        <w:t>“2024, BICENTENARIO EN QUE SE OTORGA EL TÍTULO DE “CIUDAD” A LA ANTIGUA ZAPOTLÁN EL GRANDE”</w:t>
      </w:r>
    </w:p>
    <w:p w14:paraId="5699E174" w14:textId="77777777" w:rsidR="003B3009" w:rsidRPr="000D7BC5" w:rsidRDefault="003B3009" w:rsidP="003B3009">
      <w:pPr>
        <w:pStyle w:val="Sinespaciado"/>
        <w:jc w:val="center"/>
        <w:rPr>
          <w:rFonts w:cs="Arial"/>
          <w:b/>
          <w:bCs/>
          <w:i/>
          <w:color w:val="000000" w:themeColor="text1"/>
          <w:szCs w:val="24"/>
          <w:lang w:val="es-MX"/>
        </w:rPr>
      </w:pPr>
    </w:p>
    <w:p w14:paraId="686AF335" w14:textId="28B188E7" w:rsidR="003B3009" w:rsidRPr="000D7BC5" w:rsidRDefault="003B3009" w:rsidP="003B3009">
      <w:pPr>
        <w:pStyle w:val="Ttulo2"/>
        <w:rPr>
          <w:rFonts w:eastAsia="Calibri"/>
          <w:b w:val="0"/>
          <w:bCs w:val="0"/>
          <w:color w:val="000000" w:themeColor="text1"/>
          <w:sz w:val="18"/>
        </w:rPr>
      </w:pPr>
      <w:r w:rsidRPr="000D7BC5">
        <w:rPr>
          <w:rFonts w:eastAsia="Calibri"/>
          <w:b w:val="0"/>
          <w:color w:val="000000" w:themeColor="text1"/>
          <w:sz w:val="16"/>
        </w:rPr>
        <w:t xml:space="preserve">Ciudad Guzmán, </w:t>
      </w:r>
      <w:proofErr w:type="spellStart"/>
      <w:r w:rsidRPr="000D7BC5">
        <w:rPr>
          <w:rFonts w:eastAsia="Calibri"/>
          <w:b w:val="0"/>
          <w:color w:val="000000" w:themeColor="text1"/>
          <w:sz w:val="16"/>
        </w:rPr>
        <w:t>Mpio</w:t>
      </w:r>
      <w:proofErr w:type="spellEnd"/>
      <w:r w:rsidRPr="000D7BC5">
        <w:rPr>
          <w:rFonts w:eastAsia="Calibri"/>
          <w:b w:val="0"/>
          <w:color w:val="000000" w:themeColor="text1"/>
          <w:sz w:val="16"/>
        </w:rPr>
        <w:t>. de Zapotlán el Grande, Ja</w:t>
      </w:r>
      <w:r w:rsidRPr="000D7BC5">
        <w:rPr>
          <w:rFonts w:eastAsia="Calibri"/>
          <w:b w:val="0"/>
          <w:color w:val="000000" w:themeColor="text1"/>
          <w:sz w:val="18"/>
        </w:rPr>
        <w:t xml:space="preserve">lisco, </w:t>
      </w:r>
      <w:r>
        <w:rPr>
          <w:rFonts w:eastAsia="Calibri"/>
          <w:b w:val="0"/>
          <w:color w:val="000000" w:themeColor="text1"/>
          <w:sz w:val="18"/>
        </w:rPr>
        <w:t>20 de noviembre</w:t>
      </w:r>
      <w:r w:rsidRPr="000D7BC5">
        <w:rPr>
          <w:rFonts w:eastAsia="Calibri"/>
          <w:b w:val="0"/>
          <w:color w:val="000000" w:themeColor="text1"/>
          <w:sz w:val="18"/>
        </w:rPr>
        <w:t xml:space="preserve"> 2024.</w:t>
      </w:r>
    </w:p>
    <w:p w14:paraId="6A0130D0" w14:textId="77777777" w:rsidR="003B3009" w:rsidRPr="000D7BC5" w:rsidRDefault="003B3009" w:rsidP="003B3009">
      <w:pPr>
        <w:rPr>
          <w:rFonts w:cs="Arial"/>
          <w:sz w:val="16"/>
          <w:lang w:val="es-ES" w:eastAsia="es-ES"/>
        </w:rPr>
      </w:pPr>
    </w:p>
    <w:p w14:paraId="4ABA7F5E" w14:textId="77777777" w:rsidR="003B3009" w:rsidRDefault="003B3009" w:rsidP="003B3009">
      <w:pPr>
        <w:pBdr>
          <w:top w:val="nil"/>
          <w:left w:val="nil"/>
          <w:bottom w:val="nil"/>
          <w:right w:val="nil"/>
          <w:between w:val="nil"/>
          <w:bar w:val="nil"/>
        </w:pBdr>
        <w:jc w:val="center"/>
        <w:rPr>
          <w:rFonts w:eastAsia="Calibri" w:cs="Arial"/>
          <w:b/>
          <w:bCs/>
          <w:color w:val="000000"/>
          <w:sz w:val="24"/>
          <w:szCs w:val="24"/>
          <w:u w:color="000000"/>
          <w:bdr w:val="nil"/>
          <w:lang w:val="es-ES"/>
        </w:rPr>
      </w:pPr>
    </w:p>
    <w:p w14:paraId="6FB510E3" w14:textId="77777777" w:rsidR="003B3009" w:rsidRDefault="003B3009" w:rsidP="003B3009">
      <w:pPr>
        <w:pBdr>
          <w:top w:val="nil"/>
          <w:left w:val="nil"/>
          <w:bottom w:val="nil"/>
          <w:right w:val="nil"/>
          <w:between w:val="nil"/>
          <w:bar w:val="nil"/>
        </w:pBdr>
        <w:jc w:val="center"/>
        <w:rPr>
          <w:rFonts w:eastAsia="Calibri" w:cs="Arial"/>
          <w:b/>
          <w:bCs/>
          <w:color w:val="000000"/>
          <w:sz w:val="24"/>
          <w:szCs w:val="24"/>
          <w:u w:color="000000"/>
          <w:bdr w:val="nil"/>
          <w:lang w:val="es-ES"/>
        </w:rPr>
      </w:pPr>
    </w:p>
    <w:p w14:paraId="1055C935" w14:textId="77777777" w:rsidR="003B3009" w:rsidRDefault="003B3009" w:rsidP="003B3009">
      <w:pPr>
        <w:pBdr>
          <w:top w:val="nil"/>
          <w:left w:val="nil"/>
          <w:bottom w:val="nil"/>
          <w:right w:val="nil"/>
          <w:between w:val="nil"/>
          <w:bar w:val="nil"/>
        </w:pBdr>
        <w:jc w:val="center"/>
        <w:rPr>
          <w:rFonts w:eastAsia="Calibri" w:cs="Arial"/>
          <w:b/>
          <w:bCs/>
          <w:color w:val="000000"/>
          <w:sz w:val="24"/>
          <w:szCs w:val="24"/>
          <w:u w:color="000000"/>
          <w:bdr w:val="nil"/>
          <w:lang w:val="es-ES"/>
        </w:rPr>
      </w:pPr>
    </w:p>
    <w:p w14:paraId="4614A9BB" w14:textId="77777777" w:rsidR="003B3009" w:rsidRDefault="003B3009" w:rsidP="003B3009">
      <w:pPr>
        <w:pBdr>
          <w:top w:val="nil"/>
          <w:left w:val="nil"/>
          <w:bottom w:val="nil"/>
          <w:right w:val="nil"/>
          <w:between w:val="nil"/>
          <w:bar w:val="nil"/>
        </w:pBdr>
        <w:jc w:val="center"/>
        <w:rPr>
          <w:rFonts w:eastAsia="Calibri" w:cs="Arial"/>
          <w:b/>
          <w:bCs/>
          <w:color w:val="000000"/>
          <w:sz w:val="24"/>
          <w:szCs w:val="24"/>
          <w:u w:color="000000"/>
          <w:bdr w:val="nil"/>
          <w:lang w:val="es-ES"/>
        </w:rPr>
      </w:pPr>
    </w:p>
    <w:p w14:paraId="66E1DFB2" w14:textId="77777777" w:rsidR="003B3009" w:rsidRDefault="003B3009" w:rsidP="003B3009">
      <w:pPr>
        <w:pBdr>
          <w:top w:val="nil"/>
          <w:left w:val="nil"/>
          <w:bottom w:val="nil"/>
          <w:right w:val="nil"/>
          <w:between w:val="nil"/>
          <w:bar w:val="nil"/>
        </w:pBdr>
        <w:jc w:val="center"/>
        <w:rPr>
          <w:rFonts w:eastAsia="Calibri" w:cs="Arial"/>
          <w:b/>
          <w:bCs/>
          <w:color w:val="000000"/>
          <w:sz w:val="24"/>
          <w:szCs w:val="24"/>
          <w:u w:color="000000"/>
          <w:bdr w:val="nil"/>
          <w:lang w:val="es-ES"/>
        </w:rPr>
      </w:pPr>
    </w:p>
    <w:p w14:paraId="024FA442" w14:textId="2ED080D7" w:rsidR="003B3009" w:rsidRPr="006E0EA5" w:rsidRDefault="003B3009" w:rsidP="003B3009">
      <w:pPr>
        <w:pBdr>
          <w:top w:val="nil"/>
          <w:left w:val="nil"/>
          <w:bottom w:val="nil"/>
          <w:right w:val="nil"/>
          <w:between w:val="nil"/>
          <w:bar w:val="nil"/>
        </w:pBdr>
        <w:jc w:val="center"/>
        <w:rPr>
          <w:rFonts w:eastAsia="Calibri" w:cs="Arial"/>
          <w:b/>
          <w:bCs/>
          <w:color w:val="000000"/>
          <w:sz w:val="24"/>
          <w:szCs w:val="24"/>
          <w:u w:color="000000"/>
          <w:bdr w:val="nil"/>
          <w:lang w:val="es-MX"/>
        </w:rPr>
      </w:pPr>
      <w:r w:rsidRPr="006E0EA5">
        <w:rPr>
          <w:rFonts w:eastAsia="Calibri" w:cs="Arial"/>
          <w:b/>
          <w:bCs/>
          <w:color w:val="000000"/>
          <w:sz w:val="24"/>
          <w:szCs w:val="24"/>
          <w:u w:color="000000"/>
          <w:bdr w:val="nil"/>
          <w:lang w:val="es-MX"/>
        </w:rPr>
        <w:t xml:space="preserve">LIC. </w:t>
      </w:r>
      <w:r>
        <w:rPr>
          <w:rFonts w:eastAsia="Calibri" w:cs="Arial"/>
          <w:b/>
          <w:bCs/>
          <w:color w:val="000000"/>
          <w:sz w:val="24"/>
          <w:szCs w:val="24"/>
          <w:u w:color="000000"/>
          <w:bdr w:val="nil"/>
          <w:lang w:val="es-MX"/>
        </w:rPr>
        <w:t>OSCAR MURGUÍA TORRES</w:t>
      </w:r>
    </w:p>
    <w:p w14:paraId="445D1D5E" w14:textId="0FEB8450" w:rsidR="003B3009" w:rsidRPr="006E0EA5" w:rsidRDefault="003B3009" w:rsidP="003B3009">
      <w:pPr>
        <w:pBdr>
          <w:top w:val="nil"/>
          <w:left w:val="nil"/>
          <w:bottom w:val="nil"/>
          <w:right w:val="nil"/>
          <w:between w:val="nil"/>
          <w:bar w:val="nil"/>
        </w:pBdr>
        <w:jc w:val="center"/>
        <w:rPr>
          <w:rFonts w:eastAsia="Calibri" w:cs="Arial"/>
          <w:bCs/>
          <w:color w:val="000000"/>
          <w:sz w:val="24"/>
          <w:szCs w:val="24"/>
          <w:u w:color="000000"/>
          <w:bdr w:val="nil"/>
          <w:lang w:val="es-MX"/>
        </w:rPr>
      </w:pPr>
      <w:r w:rsidRPr="006E0EA5">
        <w:rPr>
          <w:rFonts w:eastAsia="Calibri" w:cs="Arial"/>
          <w:bCs/>
          <w:color w:val="000000"/>
          <w:sz w:val="24"/>
          <w:szCs w:val="24"/>
          <w:u w:color="000000"/>
          <w:bdr w:val="nil"/>
          <w:lang w:val="es-MX"/>
        </w:rPr>
        <w:t>Regidor</w:t>
      </w:r>
    </w:p>
    <w:p w14:paraId="433C6B21" w14:textId="26F2006C" w:rsidR="003B3009" w:rsidRPr="004B4066" w:rsidRDefault="003B3009" w:rsidP="003B3009">
      <w:pPr>
        <w:pBdr>
          <w:top w:val="nil"/>
          <w:left w:val="nil"/>
          <w:bottom w:val="nil"/>
          <w:right w:val="nil"/>
          <w:between w:val="nil"/>
          <w:bar w:val="nil"/>
        </w:pBdr>
        <w:rPr>
          <w:rFonts w:eastAsia="Calibri" w:cs="Arial"/>
          <w:bCs/>
          <w:sz w:val="24"/>
          <w:szCs w:val="24"/>
          <w:lang w:val="es-MX"/>
        </w:rPr>
      </w:pPr>
      <w:r>
        <w:rPr>
          <w:rFonts w:eastAsia="Arial Unicode MS" w:cs="Arial"/>
          <w:sz w:val="18"/>
          <w:szCs w:val="24"/>
          <w:bdr w:val="nil"/>
          <w:lang w:val="es-MX"/>
        </w:rPr>
        <w:t>OMT</w:t>
      </w:r>
      <w:r w:rsidRPr="003B3009">
        <w:rPr>
          <w:rFonts w:eastAsia="Arial Unicode MS" w:cs="Arial"/>
          <w:sz w:val="18"/>
          <w:szCs w:val="24"/>
          <w:bdr w:val="nil"/>
          <w:lang w:val="es-MX"/>
        </w:rPr>
        <w:t>/</w:t>
      </w:r>
      <w:proofErr w:type="spellStart"/>
      <w:r w:rsidRPr="003B3009">
        <w:rPr>
          <w:rFonts w:eastAsia="Arial Unicode MS" w:cs="Arial"/>
          <w:sz w:val="18"/>
          <w:szCs w:val="24"/>
          <w:bdr w:val="nil"/>
          <w:lang w:val="es-MX"/>
        </w:rPr>
        <w:t>lggp</w:t>
      </w:r>
      <w:proofErr w:type="spellEnd"/>
    </w:p>
    <w:p w14:paraId="2C29A697" w14:textId="77777777" w:rsidR="003B3009" w:rsidRDefault="003B3009">
      <w:pPr>
        <w:rPr>
          <w:lang w:val="es-MX"/>
        </w:rPr>
      </w:pPr>
    </w:p>
    <w:p w14:paraId="069CE140" w14:textId="77777777" w:rsidR="00F2202F" w:rsidRDefault="00F2202F" w:rsidP="00F2202F">
      <w:pPr>
        <w:jc w:val="both"/>
        <w:rPr>
          <w:lang w:val="es-MX"/>
        </w:rPr>
      </w:pPr>
    </w:p>
    <w:p w14:paraId="244213D7" w14:textId="77777777" w:rsidR="00F2202F" w:rsidRDefault="00F2202F" w:rsidP="00F2202F">
      <w:pPr>
        <w:jc w:val="both"/>
        <w:rPr>
          <w:lang w:val="es-MX"/>
        </w:rPr>
      </w:pPr>
    </w:p>
    <w:p w14:paraId="12470F6A" w14:textId="77777777" w:rsidR="00F2202F" w:rsidRDefault="00F2202F" w:rsidP="00F2202F">
      <w:pPr>
        <w:jc w:val="both"/>
        <w:rPr>
          <w:lang w:val="es-MX"/>
        </w:rPr>
      </w:pPr>
    </w:p>
    <w:p w14:paraId="3764B11F" w14:textId="77777777" w:rsidR="00F2202F" w:rsidRDefault="00F2202F" w:rsidP="00F2202F">
      <w:pPr>
        <w:jc w:val="both"/>
        <w:rPr>
          <w:lang w:val="es-MX"/>
        </w:rPr>
      </w:pPr>
    </w:p>
    <w:p w14:paraId="69501DAA" w14:textId="77777777" w:rsidR="00F2202F" w:rsidRDefault="00F2202F" w:rsidP="00F2202F">
      <w:pPr>
        <w:jc w:val="both"/>
        <w:rPr>
          <w:lang w:val="es-MX"/>
        </w:rPr>
      </w:pPr>
      <w:bookmarkStart w:id="0" w:name="_GoBack"/>
      <w:bookmarkEnd w:id="0"/>
    </w:p>
    <w:p w14:paraId="22977566" w14:textId="77777777" w:rsidR="00F2202F" w:rsidRPr="00157236" w:rsidRDefault="00F2202F" w:rsidP="00F2202F">
      <w:pPr>
        <w:jc w:val="both"/>
        <w:rPr>
          <w:sz w:val="14"/>
          <w:lang w:val="es-MX"/>
        </w:rPr>
      </w:pPr>
    </w:p>
    <w:p w14:paraId="156B0773" w14:textId="418EE943" w:rsidR="00F2202F" w:rsidRPr="00157236" w:rsidRDefault="00F2202F" w:rsidP="00F2202F">
      <w:pPr>
        <w:jc w:val="both"/>
        <w:rPr>
          <w:sz w:val="14"/>
          <w:lang w:val="es-MX"/>
        </w:rPr>
      </w:pPr>
      <w:r w:rsidRPr="00157236">
        <w:rPr>
          <w:sz w:val="14"/>
          <w:lang w:val="es-MX"/>
        </w:rPr>
        <w:t xml:space="preserve">La presente foja de firma pertenece a la </w:t>
      </w:r>
      <w:r w:rsidRPr="00157236">
        <w:rPr>
          <w:rFonts w:cs="Arial"/>
          <w:sz w:val="14"/>
          <w:lang w:val="es-MX"/>
        </w:rPr>
        <w:t>INICIATIVA DE ORDENAMIENTO MUNICIPAL QUE REFORMA EL ARTÍCULO 129 DEL REGLAMENTO INTERIOR DEL AYUNTAMIENTO DE ZAPOTLÁN EL GRANDE, JALISCO, de fecha 20 de noviembre del 2024.</w:t>
      </w:r>
    </w:p>
    <w:sectPr w:rsidR="00F2202F" w:rsidRPr="0015723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C8501" w14:textId="77777777" w:rsidR="001B28ED" w:rsidRDefault="001B28ED" w:rsidP="00EF273A">
      <w:r>
        <w:separator/>
      </w:r>
    </w:p>
  </w:endnote>
  <w:endnote w:type="continuationSeparator" w:id="0">
    <w:p w14:paraId="084AC53A" w14:textId="77777777" w:rsidR="001B28ED" w:rsidRDefault="001B28ED" w:rsidP="00EF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717D3" w14:textId="77777777" w:rsidR="001B28ED" w:rsidRDefault="001B28ED" w:rsidP="00EF273A">
      <w:r>
        <w:separator/>
      </w:r>
    </w:p>
  </w:footnote>
  <w:footnote w:type="continuationSeparator" w:id="0">
    <w:p w14:paraId="6569A0F7" w14:textId="77777777" w:rsidR="001B28ED" w:rsidRDefault="001B28ED" w:rsidP="00EF273A">
      <w:r>
        <w:continuationSeparator/>
      </w:r>
    </w:p>
  </w:footnote>
  <w:footnote w:id="1">
    <w:p w14:paraId="1360A116" w14:textId="7F86369A" w:rsidR="001130C5" w:rsidRPr="00960F04" w:rsidRDefault="001130C5" w:rsidP="001130C5">
      <w:pPr>
        <w:rPr>
          <w:lang w:val="es-MX"/>
        </w:rPr>
      </w:pPr>
      <w:r>
        <w:rPr>
          <w:rStyle w:val="Refdenotaalpie"/>
        </w:rPr>
        <w:footnoteRef/>
      </w:r>
      <w:r w:rsidRPr="001130C5">
        <w:rPr>
          <w:lang w:val="es-MX"/>
        </w:rPr>
        <w:t xml:space="preserve"> </w:t>
      </w:r>
      <w:r w:rsidRPr="00960F04">
        <w:rPr>
          <w:lang w:val="es-MX"/>
        </w:rPr>
        <w:t>Jurisprudencia P./J. 30/2007. Publicada en el Semanario Judicial de la Federación y su Gaceta, Novena Época, tomo XXV, mayo de 2007, página 1515.</w:t>
      </w:r>
      <w:r>
        <w:rPr>
          <w:lang w:val="es-MX"/>
        </w:rPr>
        <w:t xml:space="preserve"> </w:t>
      </w:r>
    </w:p>
    <w:p w14:paraId="460DC406" w14:textId="7D10908C" w:rsidR="001130C5" w:rsidRPr="001130C5" w:rsidRDefault="001130C5">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079BC" w14:textId="177A3908" w:rsidR="00EF273A" w:rsidRDefault="001B28ED">
    <w:pPr>
      <w:pStyle w:val="Encabezado"/>
    </w:pPr>
    <w:r>
      <w:rPr>
        <w:noProof/>
      </w:rPr>
      <w:pict w14:anchorId="25627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7510" o:spid="_x0000_s2049" type="#_x0000_t75" alt="" style="position:absolute;margin-left:-85.25pt;margin-top:-74.45pt;width:612.35pt;height:792.35pt;z-index:-251658752;mso-wrap-edited:f;mso-width-percent:0;mso-height-percent:0;mso-position-horizontal-relative:margin;mso-position-vertical-relative:margin;mso-width-percent:0;mso-height-percent:0" o:allowincell="f">
          <v:imagedata r:id="rId1" o:title="Hoja membretadaBN"/>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381"/>
    <w:multiLevelType w:val="hybridMultilevel"/>
    <w:tmpl w:val="075001E2"/>
    <w:lvl w:ilvl="0" w:tplc="4A24A464">
      <w:start w:val="1"/>
      <w:numFmt w:val="decimal"/>
      <w:lvlText w:val="%1."/>
      <w:lvlJc w:val="left"/>
      <w:pPr>
        <w:ind w:left="732" w:hanging="372"/>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8D724C"/>
    <w:multiLevelType w:val="hybridMultilevel"/>
    <w:tmpl w:val="075001E2"/>
    <w:lvl w:ilvl="0" w:tplc="FFFFFFFF">
      <w:start w:val="1"/>
      <w:numFmt w:val="decimal"/>
      <w:lvlText w:val="%1."/>
      <w:lvlJc w:val="left"/>
      <w:pPr>
        <w:ind w:left="732" w:hanging="37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B40F63"/>
    <w:multiLevelType w:val="hybridMultilevel"/>
    <w:tmpl w:val="133418B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A"/>
    <w:rsid w:val="001130C5"/>
    <w:rsid w:val="00157236"/>
    <w:rsid w:val="001B28ED"/>
    <w:rsid w:val="003B3009"/>
    <w:rsid w:val="003D5005"/>
    <w:rsid w:val="00495A70"/>
    <w:rsid w:val="00877FF4"/>
    <w:rsid w:val="00960F04"/>
    <w:rsid w:val="00981CD8"/>
    <w:rsid w:val="00D061F8"/>
    <w:rsid w:val="00EF273A"/>
    <w:rsid w:val="00F016DB"/>
    <w:rsid w:val="00F2202F"/>
    <w:rsid w:val="00F504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F5DEFD"/>
  <w15:chartTrackingRefBased/>
  <w15:docId w15:val="{5EC8BBC4-343C-40F2-884A-405EEF79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FF4"/>
    <w:pPr>
      <w:spacing w:after="0" w:line="240" w:lineRule="auto"/>
    </w:pPr>
    <w:rPr>
      <w:rFonts w:ascii="Arial" w:eastAsia="Times New Roman" w:hAnsi="Arial" w:cs="Times New Roman"/>
      <w:kern w:val="0"/>
      <w:sz w:val="20"/>
      <w:szCs w:val="20"/>
      <w:lang w:val="en-US"/>
      <w14:ligatures w14:val="none"/>
    </w:rPr>
  </w:style>
  <w:style w:type="paragraph" w:styleId="Ttulo2">
    <w:name w:val="heading 2"/>
    <w:basedOn w:val="Normal"/>
    <w:next w:val="Normal"/>
    <w:link w:val="Ttulo2Car"/>
    <w:uiPriority w:val="99"/>
    <w:unhideWhenUsed/>
    <w:qFormat/>
    <w:rsid w:val="003B3009"/>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273A"/>
    <w:pPr>
      <w:tabs>
        <w:tab w:val="center" w:pos="4419"/>
        <w:tab w:val="right" w:pos="8838"/>
      </w:tabs>
    </w:pPr>
  </w:style>
  <w:style w:type="character" w:customStyle="1" w:styleId="EncabezadoCar">
    <w:name w:val="Encabezado Car"/>
    <w:basedOn w:val="Fuentedeprrafopredeter"/>
    <w:link w:val="Encabezado"/>
    <w:uiPriority w:val="99"/>
    <w:rsid w:val="00EF273A"/>
  </w:style>
  <w:style w:type="paragraph" w:styleId="Piedepgina">
    <w:name w:val="footer"/>
    <w:basedOn w:val="Normal"/>
    <w:link w:val="PiedepginaCar"/>
    <w:uiPriority w:val="99"/>
    <w:unhideWhenUsed/>
    <w:rsid w:val="00EF273A"/>
    <w:pPr>
      <w:tabs>
        <w:tab w:val="center" w:pos="4419"/>
        <w:tab w:val="right" w:pos="8838"/>
      </w:tabs>
    </w:pPr>
  </w:style>
  <w:style w:type="character" w:customStyle="1" w:styleId="PiedepginaCar">
    <w:name w:val="Pie de página Car"/>
    <w:basedOn w:val="Fuentedeprrafopredeter"/>
    <w:link w:val="Piedepgina"/>
    <w:uiPriority w:val="99"/>
    <w:rsid w:val="00EF273A"/>
  </w:style>
  <w:style w:type="paragraph" w:styleId="Textoindependiente2">
    <w:name w:val="Body Text 2"/>
    <w:basedOn w:val="Normal"/>
    <w:link w:val="Textoindependiente2Car"/>
    <w:uiPriority w:val="99"/>
    <w:rsid w:val="00981CD8"/>
    <w:pPr>
      <w:jc w:val="both"/>
    </w:pPr>
    <w:rPr>
      <w:sz w:val="24"/>
      <w:szCs w:val="24"/>
      <w:lang w:val="x-none" w:eastAsia="es-ES"/>
    </w:rPr>
  </w:style>
  <w:style w:type="character" w:customStyle="1" w:styleId="Textoindependiente2Car">
    <w:name w:val="Texto independiente 2 Car"/>
    <w:basedOn w:val="Fuentedeprrafopredeter"/>
    <w:link w:val="Textoindependiente2"/>
    <w:uiPriority w:val="99"/>
    <w:rsid w:val="00981CD8"/>
    <w:rPr>
      <w:rFonts w:ascii="Arial" w:eastAsia="Times New Roman" w:hAnsi="Arial" w:cs="Times New Roman"/>
      <w:kern w:val="0"/>
      <w:sz w:val="24"/>
      <w:szCs w:val="24"/>
      <w:lang w:val="x-none" w:eastAsia="es-ES"/>
      <w14:ligatures w14:val="none"/>
    </w:rPr>
  </w:style>
  <w:style w:type="paragraph" w:styleId="Textonotapie">
    <w:name w:val="footnote text"/>
    <w:basedOn w:val="Normal"/>
    <w:link w:val="TextonotapieCar"/>
    <w:uiPriority w:val="99"/>
    <w:semiHidden/>
    <w:unhideWhenUsed/>
    <w:rsid w:val="001130C5"/>
  </w:style>
  <w:style w:type="character" w:customStyle="1" w:styleId="TextonotapieCar">
    <w:name w:val="Texto nota pie Car"/>
    <w:basedOn w:val="Fuentedeprrafopredeter"/>
    <w:link w:val="Textonotapie"/>
    <w:uiPriority w:val="99"/>
    <w:semiHidden/>
    <w:rsid w:val="001130C5"/>
    <w:rPr>
      <w:rFonts w:ascii="Arial" w:eastAsia="Times New Roman" w:hAnsi="Arial" w:cs="Times New Roman"/>
      <w:kern w:val="0"/>
      <w:sz w:val="20"/>
      <w:szCs w:val="20"/>
      <w:lang w:val="en-US"/>
      <w14:ligatures w14:val="none"/>
    </w:rPr>
  </w:style>
  <w:style w:type="character" w:styleId="Refdenotaalpie">
    <w:name w:val="footnote reference"/>
    <w:basedOn w:val="Fuentedeprrafopredeter"/>
    <w:uiPriority w:val="99"/>
    <w:semiHidden/>
    <w:unhideWhenUsed/>
    <w:rsid w:val="001130C5"/>
    <w:rPr>
      <w:vertAlign w:val="superscript"/>
    </w:rPr>
  </w:style>
  <w:style w:type="table" w:styleId="Tablaconcuadrcula">
    <w:name w:val="Table Grid"/>
    <w:basedOn w:val="Tablanormal"/>
    <w:uiPriority w:val="39"/>
    <w:rsid w:val="00113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130C5"/>
    <w:pPr>
      <w:ind w:left="720"/>
      <w:contextualSpacing/>
    </w:pPr>
  </w:style>
  <w:style w:type="character" w:customStyle="1" w:styleId="Ttulo2Car">
    <w:name w:val="Título 2 Car"/>
    <w:basedOn w:val="Fuentedeprrafopredeter"/>
    <w:link w:val="Ttulo2"/>
    <w:uiPriority w:val="99"/>
    <w:rsid w:val="003B3009"/>
    <w:rPr>
      <w:rFonts w:ascii="Arial" w:eastAsia="Times New Roman" w:hAnsi="Arial" w:cs="Arial"/>
      <w:b/>
      <w:bCs/>
      <w:kern w:val="0"/>
      <w:sz w:val="24"/>
      <w:szCs w:val="24"/>
      <w:lang w:val="es-ES" w:eastAsia="es-ES"/>
      <w14:ligatures w14:val="none"/>
    </w:rPr>
  </w:style>
  <w:style w:type="paragraph" w:styleId="Sinespaciado">
    <w:name w:val="No Spacing"/>
    <w:link w:val="SinespaciadoCar"/>
    <w:uiPriority w:val="1"/>
    <w:qFormat/>
    <w:rsid w:val="003B3009"/>
    <w:pPr>
      <w:spacing w:after="0" w:line="240" w:lineRule="auto"/>
    </w:pPr>
    <w:rPr>
      <w:rFonts w:ascii="Arial" w:eastAsia="Times New Roman" w:hAnsi="Arial" w:cs="Times New Roman"/>
      <w:kern w:val="0"/>
      <w:sz w:val="20"/>
      <w:szCs w:val="20"/>
      <w:lang w:val="en-US"/>
      <w14:ligatures w14:val="none"/>
    </w:rPr>
  </w:style>
  <w:style w:type="character" w:customStyle="1" w:styleId="SinespaciadoCar">
    <w:name w:val="Sin espaciado Car"/>
    <w:basedOn w:val="Fuentedeprrafopredeter"/>
    <w:link w:val="Sinespaciado"/>
    <w:uiPriority w:val="1"/>
    <w:locked/>
    <w:rsid w:val="003B3009"/>
    <w:rPr>
      <w:rFonts w:ascii="Arial" w:eastAsia="Times New Roman" w:hAnsi="Arial" w:cs="Times New Roman"/>
      <w:kern w:val="0"/>
      <w:sz w:val="20"/>
      <w:szCs w:val="20"/>
      <w:lang w:val="en-US"/>
      <w14:ligatures w14:val="none"/>
    </w:rPr>
  </w:style>
  <w:style w:type="character" w:styleId="Hipervnculo">
    <w:name w:val="Hyperlink"/>
    <w:basedOn w:val="Fuentedeprrafopredeter"/>
    <w:uiPriority w:val="99"/>
    <w:unhideWhenUsed/>
    <w:rsid w:val="00877FF4"/>
    <w:rPr>
      <w:color w:val="0563C1" w:themeColor="hyperlink"/>
      <w:u w:val="single"/>
    </w:rPr>
  </w:style>
  <w:style w:type="character" w:customStyle="1" w:styleId="UnresolvedMention">
    <w:name w:val="Unresolved Mention"/>
    <w:basedOn w:val="Fuentedeprrafopredeter"/>
    <w:uiPriority w:val="99"/>
    <w:semiHidden/>
    <w:unhideWhenUsed/>
    <w:rsid w:val="00877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F67C9-4116-49A7-801D-5B82690AB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1535</Words>
  <Characters>8444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GOMEZ</dc:creator>
  <cp:keywords/>
  <dc:description/>
  <cp:lastModifiedBy>Laura Guadalupe Gomez Pinto</cp:lastModifiedBy>
  <cp:revision>2</cp:revision>
  <dcterms:created xsi:type="dcterms:W3CDTF">2024-11-21T15:41:00Z</dcterms:created>
  <dcterms:modified xsi:type="dcterms:W3CDTF">2024-11-21T15:41:00Z</dcterms:modified>
</cp:coreProperties>
</file>