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D" w:rsidRPr="008A2C29" w:rsidRDefault="0002378D" w:rsidP="009E5CD6">
      <w:pPr>
        <w:rPr>
          <w:rFonts w:ascii="Nirmala UI" w:hAnsi="Nirmala UI" w:cs="Nirmala UI"/>
        </w:rPr>
      </w:pPr>
      <w:bookmarkStart w:id="0" w:name="_GoBack"/>
      <w:bookmarkEnd w:id="0"/>
    </w:p>
    <w:p w:rsidR="00661887" w:rsidRDefault="00661887" w:rsidP="009E5CD6">
      <w:pPr>
        <w:jc w:val="both"/>
        <w:rPr>
          <w:rFonts w:ascii="Nirmala UI" w:hAnsi="Nirmala UI" w:cs="Nirmala UI"/>
          <w:b/>
        </w:rPr>
      </w:pPr>
    </w:p>
    <w:p w:rsidR="009E5CD6" w:rsidRDefault="009E5CD6" w:rsidP="009E5CD6">
      <w:pPr>
        <w:jc w:val="both"/>
        <w:rPr>
          <w:rFonts w:ascii="Nirmala UI" w:hAnsi="Nirmala UI" w:cs="Nirmala UI"/>
          <w:b/>
        </w:rPr>
      </w:pPr>
    </w:p>
    <w:p w:rsidR="000C5511" w:rsidRPr="008A2C29" w:rsidRDefault="000C5511" w:rsidP="009E5CD6">
      <w:pPr>
        <w:jc w:val="both"/>
        <w:rPr>
          <w:rFonts w:ascii="Nirmala UI" w:hAnsi="Nirmala UI" w:cs="Nirmala UI"/>
          <w:b/>
        </w:rPr>
      </w:pPr>
      <w:r w:rsidRPr="008A2C29">
        <w:rPr>
          <w:rFonts w:ascii="Nirmala UI" w:hAnsi="Nirmala UI" w:cs="Nirmala UI"/>
          <w:b/>
        </w:rPr>
        <w:t xml:space="preserve">HONORABLES REGIDORES DEL H. AYUNTAMIENTO </w:t>
      </w:r>
    </w:p>
    <w:p w:rsidR="000C5511" w:rsidRPr="008A2C29" w:rsidRDefault="000C5511" w:rsidP="009E5CD6">
      <w:pPr>
        <w:jc w:val="both"/>
        <w:rPr>
          <w:rFonts w:ascii="Nirmala UI" w:hAnsi="Nirmala UI" w:cs="Nirmala UI"/>
          <w:b/>
        </w:rPr>
      </w:pPr>
      <w:r w:rsidRPr="008A2C29">
        <w:rPr>
          <w:rFonts w:ascii="Nirmala UI" w:hAnsi="Nirmala UI" w:cs="Nirmala UI"/>
          <w:b/>
        </w:rPr>
        <w:t>CONSTITUCIONAL DE ZAPOTLÁN EL GRANDE</w:t>
      </w:r>
    </w:p>
    <w:p w:rsidR="000C5511" w:rsidRPr="008A2C29" w:rsidRDefault="000C5511" w:rsidP="009E5CD6">
      <w:pPr>
        <w:jc w:val="both"/>
        <w:rPr>
          <w:rFonts w:ascii="Nirmala UI" w:hAnsi="Nirmala UI" w:cs="Nirmala UI"/>
          <w:b/>
        </w:rPr>
      </w:pPr>
      <w:r w:rsidRPr="008A2C29">
        <w:rPr>
          <w:rFonts w:ascii="Nirmala UI" w:hAnsi="Nirmala UI" w:cs="Nirmala UI"/>
          <w:b/>
        </w:rPr>
        <w:t>PRESENTE</w:t>
      </w:r>
    </w:p>
    <w:p w:rsidR="000C5511" w:rsidRPr="008A2C29" w:rsidRDefault="000C5511" w:rsidP="009E5CD6">
      <w:pPr>
        <w:jc w:val="both"/>
        <w:rPr>
          <w:rFonts w:ascii="Nirmala UI" w:hAnsi="Nirmala UI" w:cs="Nirmala UI"/>
        </w:rPr>
      </w:pPr>
    </w:p>
    <w:p w:rsidR="009E5CD6" w:rsidRDefault="009E5CD6" w:rsidP="009E5CD6">
      <w:pPr>
        <w:jc w:val="both"/>
        <w:rPr>
          <w:rFonts w:ascii="Nirmala UI" w:hAnsi="Nirmala UI" w:cs="Nirmala UI"/>
        </w:rPr>
      </w:pPr>
    </w:p>
    <w:p w:rsidR="000C5511" w:rsidRPr="008A2C29" w:rsidRDefault="000C5511" w:rsidP="006D1F0F">
      <w:pPr>
        <w:autoSpaceDE w:val="0"/>
        <w:autoSpaceDN w:val="0"/>
        <w:adjustRightInd w:val="0"/>
        <w:jc w:val="both"/>
        <w:rPr>
          <w:rFonts w:ascii="Nirmala UI" w:hAnsi="Nirmala UI" w:cs="Nirmala UI"/>
        </w:rPr>
      </w:pPr>
      <w:r w:rsidRPr="008A2C29">
        <w:rPr>
          <w:rFonts w:ascii="Nirmala UI" w:hAnsi="Nirmala UI" w:cs="Nirmala UI"/>
        </w:rPr>
        <w:t xml:space="preserve">Quien motiva y suscribe la presente </w:t>
      </w:r>
      <w:r w:rsidR="009E5CD6">
        <w:rPr>
          <w:rFonts w:ascii="Nirmala UI" w:hAnsi="Nirmala UI" w:cs="Nirmala UI"/>
        </w:rPr>
        <w:t xml:space="preserve">C. </w:t>
      </w:r>
      <w:r w:rsidRPr="008A2C29">
        <w:rPr>
          <w:rFonts w:ascii="Nirmala UI" w:hAnsi="Nirmala UI" w:cs="Nirmala UI"/>
        </w:rPr>
        <w:t>HIGINIO DEL TORO PÉREZ, en mi carácter de Regidor</w:t>
      </w:r>
      <w:r w:rsidR="009E5CD6">
        <w:rPr>
          <w:rFonts w:ascii="Nirmala UI" w:hAnsi="Nirmala UI" w:cs="Nirmala UI"/>
        </w:rPr>
        <w:t xml:space="preserve"> de la fracción edilicia de Movimiento Ciudadano</w:t>
      </w:r>
      <w:r w:rsidRPr="008A2C29">
        <w:rPr>
          <w:rFonts w:ascii="Nirmala UI" w:hAnsi="Nirmala UI" w:cs="Nirmala UI"/>
        </w:rPr>
        <w:t xml:space="preserve">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Pr="008A2C29">
        <w:rPr>
          <w:rFonts w:ascii="Nirmala UI" w:hAnsi="Nirmala UI" w:cs="Nirmala UI"/>
          <w:b/>
        </w:rPr>
        <w:t>INIC</w:t>
      </w:r>
      <w:r w:rsidR="00661887">
        <w:rPr>
          <w:rFonts w:ascii="Nirmala UI" w:hAnsi="Nirmala UI" w:cs="Nirmala UI"/>
          <w:b/>
        </w:rPr>
        <w:t>IATIVA DE ACUERDO E</w:t>
      </w:r>
      <w:r w:rsidR="0077436A">
        <w:rPr>
          <w:rFonts w:ascii="Nirmala UI" w:hAnsi="Nirmala UI" w:cs="Nirmala UI"/>
          <w:b/>
        </w:rPr>
        <w:t xml:space="preserve">CONÓMICO QUE SOLICITA </w:t>
      </w:r>
      <w:r w:rsidR="006D1F0F">
        <w:rPr>
          <w:rFonts w:ascii="Nirmala UI" w:hAnsi="Nirmala UI" w:cs="Nirmala UI"/>
          <w:b/>
        </w:rPr>
        <w:t>EL CUMPLIMIENTO DEL ARTÍCULO 13 DEL REGLAMENTO INTERIOR DEL AYUNTAMIENTO DE ZAPOTLÁN EL GRANDE, JALISCO CON RELACIÓN AL ESTUDIO Y ANALISIS DEL DICTAMEN DE ENTREGA RECEPCIÓN,  ASÍ COMO EL ENVÍO DE CONCLUSIONES AL CONGRESO DEL ESTADO</w:t>
      </w:r>
      <w:r w:rsidR="006D1F0F">
        <w:rPr>
          <w:rFonts w:ascii="ArialMT" w:hAnsi="ArialMT" w:cs="ArialMT"/>
          <w:kern w:val="0"/>
          <w:sz w:val="20"/>
          <w:szCs w:val="20"/>
        </w:rPr>
        <w:t>.</w:t>
      </w:r>
      <w:r w:rsidR="006B4D62">
        <w:rPr>
          <w:rFonts w:ascii="Nirmala UI" w:hAnsi="Nirmala UI" w:cs="Nirmala UI"/>
          <w:b/>
        </w:rPr>
        <w:t xml:space="preserve"> </w:t>
      </w:r>
      <w:r w:rsidRPr="008A2C29">
        <w:rPr>
          <w:rFonts w:ascii="Nirmala UI" w:hAnsi="Nirmala UI" w:cs="Nirmala UI"/>
        </w:rPr>
        <w:t>Con la siguiente:</w:t>
      </w:r>
    </w:p>
    <w:p w:rsidR="000C5511" w:rsidRPr="008A2C29" w:rsidRDefault="000C5511" w:rsidP="009E5CD6">
      <w:pPr>
        <w:jc w:val="both"/>
        <w:rPr>
          <w:rFonts w:ascii="Nirmala UI" w:hAnsi="Nirmala UI" w:cs="Nirmala UI"/>
        </w:rPr>
      </w:pPr>
    </w:p>
    <w:p w:rsidR="000C5511" w:rsidRPr="008A2C29" w:rsidRDefault="000C5511" w:rsidP="009E5CD6">
      <w:pPr>
        <w:jc w:val="center"/>
        <w:rPr>
          <w:rFonts w:ascii="Nirmala UI" w:hAnsi="Nirmala UI" w:cs="Nirmala UI"/>
          <w:b/>
        </w:rPr>
      </w:pPr>
      <w:r w:rsidRPr="008A2C29">
        <w:rPr>
          <w:rFonts w:ascii="Nirmala UI" w:hAnsi="Nirmala UI" w:cs="Nirmala UI"/>
          <w:b/>
        </w:rPr>
        <w:t>EXPOSICIÓN DE MOTIVOS</w:t>
      </w:r>
    </w:p>
    <w:p w:rsidR="000C5511" w:rsidRPr="008A2C29" w:rsidRDefault="000C5511" w:rsidP="009E5CD6">
      <w:pPr>
        <w:rPr>
          <w:rFonts w:ascii="Nirmala UI" w:hAnsi="Nirmala UI" w:cs="Nirmala UI"/>
          <w:b/>
        </w:rPr>
      </w:pPr>
    </w:p>
    <w:p w:rsidR="008A2C29" w:rsidRDefault="000C5511" w:rsidP="009E5CD6">
      <w:pPr>
        <w:pStyle w:val="Prrafodelista"/>
        <w:numPr>
          <w:ilvl w:val="0"/>
          <w:numId w:val="3"/>
        </w:numPr>
        <w:spacing w:line="240" w:lineRule="auto"/>
        <w:jc w:val="both"/>
        <w:rPr>
          <w:rFonts w:ascii="Nirmala UI" w:hAnsi="Nirmala UI" w:cs="Nirmala UI"/>
          <w:sz w:val="24"/>
          <w:szCs w:val="24"/>
        </w:rPr>
      </w:pPr>
      <w:r w:rsidRPr="008A2C29">
        <w:rPr>
          <w:rFonts w:ascii="Nirmala UI" w:hAnsi="Nirmala UI" w:cs="Nirmala UI"/>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al municipio </w:t>
      </w:r>
    </w:p>
    <w:p w:rsidR="000C5511" w:rsidRPr="008A2C29" w:rsidRDefault="000C5511" w:rsidP="009E5CD6">
      <w:pPr>
        <w:pStyle w:val="Prrafodelista"/>
        <w:spacing w:line="240" w:lineRule="auto"/>
        <w:ind w:left="1080"/>
        <w:jc w:val="both"/>
        <w:rPr>
          <w:rFonts w:ascii="Nirmala UI" w:hAnsi="Nirmala UI" w:cs="Nirmala UI"/>
          <w:sz w:val="24"/>
          <w:szCs w:val="24"/>
        </w:rPr>
      </w:pPr>
      <w:r w:rsidRPr="008A2C29">
        <w:rPr>
          <w:rFonts w:ascii="Nirmala UI" w:hAnsi="Nirmala UI" w:cs="Nirmala UI"/>
          <w:sz w:val="24"/>
          <w:szCs w:val="24"/>
        </w:rPr>
        <w:t xml:space="preserve">como nivel de gobierno, confiriéndole la base de la organización política, administrativa y territorial del estado. </w:t>
      </w:r>
    </w:p>
    <w:p w:rsidR="008A2C29" w:rsidRDefault="008A2C29" w:rsidP="009E5CD6">
      <w:pPr>
        <w:pStyle w:val="Prrafodelista"/>
        <w:pBdr>
          <w:top w:val="nil"/>
          <w:left w:val="nil"/>
          <w:bottom w:val="nil"/>
          <w:right w:val="nil"/>
          <w:between w:val="nil"/>
        </w:pBdr>
        <w:spacing w:after="0" w:line="240" w:lineRule="auto"/>
        <w:ind w:left="0"/>
        <w:jc w:val="both"/>
        <w:rPr>
          <w:rFonts w:ascii="Nirmala UI" w:hAnsi="Nirmala UI" w:cs="Nirmala UI"/>
          <w:b/>
          <w:kern w:val="2"/>
          <w:sz w:val="24"/>
          <w:szCs w:val="24"/>
          <w14:ligatures w14:val="standardContextual"/>
        </w:rPr>
      </w:pPr>
    </w:p>
    <w:p w:rsidR="009E5CD6" w:rsidRDefault="009E5CD6" w:rsidP="009E5CD6">
      <w:pPr>
        <w:pStyle w:val="Prrafodelista"/>
        <w:pBdr>
          <w:top w:val="nil"/>
          <w:left w:val="nil"/>
          <w:bottom w:val="nil"/>
          <w:right w:val="nil"/>
          <w:between w:val="nil"/>
        </w:pBdr>
        <w:spacing w:after="0" w:line="240" w:lineRule="auto"/>
        <w:ind w:left="0"/>
        <w:jc w:val="both"/>
        <w:rPr>
          <w:rFonts w:ascii="Nirmala UI" w:hAnsi="Nirmala UI" w:cs="Nirmala UI"/>
          <w:b/>
          <w:kern w:val="2"/>
          <w:sz w:val="24"/>
          <w:szCs w:val="24"/>
          <w14:ligatures w14:val="standardContextual"/>
        </w:rPr>
      </w:pPr>
    </w:p>
    <w:p w:rsidR="009E5CD6" w:rsidRDefault="009E5CD6" w:rsidP="009E5CD6">
      <w:pPr>
        <w:pStyle w:val="Prrafodelista"/>
        <w:pBdr>
          <w:top w:val="nil"/>
          <w:left w:val="nil"/>
          <w:bottom w:val="nil"/>
          <w:right w:val="nil"/>
          <w:between w:val="nil"/>
        </w:pBdr>
        <w:spacing w:after="0" w:line="240" w:lineRule="auto"/>
        <w:ind w:left="0"/>
        <w:jc w:val="both"/>
        <w:rPr>
          <w:rFonts w:ascii="Nirmala UI" w:hAnsi="Nirmala UI" w:cs="Nirmala UI"/>
          <w:b/>
          <w:kern w:val="2"/>
          <w:sz w:val="24"/>
          <w:szCs w:val="24"/>
          <w14:ligatures w14:val="standardContextual"/>
        </w:rPr>
      </w:pPr>
    </w:p>
    <w:p w:rsidR="006D1F0F" w:rsidRDefault="006D1F0F" w:rsidP="006D1F0F">
      <w:pPr>
        <w:pStyle w:val="Prrafodelista"/>
        <w:pBdr>
          <w:top w:val="nil"/>
          <w:left w:val="nil"/>
          <w:bottom w:val="nil"/>
          <w:right w:val="nil"/>
          <w:between w:val="nil"/>
        </w:pBdr>
        <w:spacing w:after="0" w:line="240" w:lineRule="auto"/>
        <w:ind w:left="1080"/>
        <w:jc w:val="both"/>
        <w:rPr>
          <w:rFonts w:ascii="Nirmala UI" w:eastAsia="Nirmala UI" w:hAnsi="Nirmala UI" w:cs="Nirmala UI"/>
          <w:color w:val="000000"/>
          <w:sz w:val="24"/>
          <w:szCs w:val="24"/>
        </w:rPr>
      </w:pPr>
    </w:p>
    <w:p w:rsidR="006D1F0F" w:rsidRDefault="006D1F0F" w:rsidP="006D1F0F">
      <w:pPr>
        <w:pStyle w:val="Prrafodelista"/>
        <w:numPr>
          <w:ilvl w:val="0"/>
          <w:numId w:val="3"/>
        </w:numPr>
        <w:pBdr>
          <w:top w:val="nil"/>
          <w:left w:val="nil"/>
          <w:bottom w:val="nil"/>
          <w:right w:val="nil"/>
          <w:between w:val="nil"/>
        </w:pBdr>
        <w:spacing w:after="0" w:line="240" w:lineRule="auto"/>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Con fecha de 01 de octubre del presente año se integró el ayuntamiento constitucional de Zapotlán el Grande, Jalisco; dentro de la primera sesión extraordinaria de Ayuntamiento. De conformidad al Código Electoral, la Ley de Gobierno y la Administración Pública Municipal, y el Reglamento Interior de Zapotlán el Grande. </w:t>
      </w:r>
    </w:p>
    <w:p w:rsidR="006D1F0F" w:rsidRDefault="006D1F0F" w:rsidP="006D1F0F">
      <w:pPr>
        <w:pStyle w:val="Prrafodelista"/>
        <w:pBdr>
          <w:top w:val="nil"/>
          <w:left w:val="nil"/>
          <w:bottom w:val="nil"/>
          <w:right w:val="nil"/>
          <w:between w:val="nil"/>
        </w:pBdr>
        <w:spacing w:after="0" w:line="240" w:lineRule="auto"/>
        <w:ind w:left="1080"/>
        <w:jc w:val="both"/>
        <w:rPr>
          <w:rFonts w:ascii="Nirmala UI" w:eastAsia="Nirmala UI" w:hAnsi="Nirmala UI" w:cs="Nirmala UI"/>
          <w:color w:val="000000"/>
          <w:sz w:val="24"/>
          <w:szCs w:val="24"/>
        </w:rPr>
      </w:pPr>
    </w:p>
    <w:p w:rsidR="006D1F0F" w:rsidRDefault="006D1F0F" w:rsidP="006D1F0F">
      <w:pPr>
        <w:pStyle w:val="Prrafodelista"/>
        <w:pBdr>
          <w:top w:val="nil"/>
          <w:left w:val="nil"/>
          <w:bottom w:val="nil"/>
          <w:right w:val="nil"/>
          <w:between w:val="nil"/>
        </w:pBdr>
        <w:spacing w:after="0" w:line="240" w:lineRule="auto"/>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Derivado </w:t>
      </w:r>
      <w:r w:rsidR="002520BF">
        <w:rPr>
          <w:rFonts w:ascii="Nirmala UI" w:eastAsia="Nirmala UI" w:hAnsi="Nirmala UI" w:cs="Nirmala UI"/>
          <w:color w:val="000000"/>
          <w:sz w:val="24"/>
          <w:szCs w:val="24"/>
        </w:rPr>
        <w:t>al cambio de gobierno señalado con anterioridad</w:t>
      </w:r>
      <w:r>
        <w:rPr>
          <w:rFonts w:ascii="Nirmala UI" w:eastAsia="Nirmala UI" w:hAnsi="Nirmala UI" w:cs="Nirmala UI"/>
          <w:color w:val="000000"/>
          <w:sz w:val="24"/>
          <w:szCs w:val="24"/>
        </w:rPr>
        <w:t xml:space="preserve">, se desglosa la primera obligación dentro de un municipio, la cual se remite al proceso de entrega-recepción. </w:t>
      </w:r>
    </w:p>
    <w:p w:rsidR="006D1F0F" w:rsidRDefault="006D1F0F" w:rsidP="006D1F0F">
      <w:pPr>
        <w:pStyle w:val="Prrafodelista"/>
        <w:pBdr>
          <w:top w:val="nil"/>
          <w:left w:val="nil"/>
          <w:bottom w:val="nil"/>
          <w:right w:val="nil"/>
          <w:between w:val="nil"/>
        </w:pBdr>
        <w:spacing w:after="0" w:line="240" w:lineRule="auto"/>
        <w:ind w:left="1080"/>
        <w:jc w:val="both"/>
        <w:rPr>
          <w:rFonts w:ascii="Nirmala UI" w:eastAsia="Nirmala UI" w:hAnsi="Nirmala UI" w:cs="Nirmala UI"/>
          <w:color w:val="000000"/>
          <w:sz w:val="24"/>
          <w:szCs w:val="24"/>
        </w:rPr>
      </w:pPr>
    </w:p>
    <w:p w:rsidR="006D1F0F" w:rsidRPr="006D1F0F" w:rsidRDefault="006D1F0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r w:rsidRPr="006D1F0F">
        <w:rPr>
          <w:rFonts w:ascii="Nirmala UI" w:eastAsia="Nirmala UI" w:hAnsi="Nirmala UI" w:cs="Nirmala UI"/>
          <w:color w:val="000000"/>
          <w:sz w:val="24"/>
          <w:szCs w:val="24"/>
        </w:rPr>
        <w:t>El proceso de entrega-recepción de un ayuntamiento es un mecanismo fundamental para garantizar la continuidad y transparencia en la administración pública municipal. Este procedimiento ocurre cuando una administración saliente transfiere la responsabilidad de la gestión del gobierno local a la administración entrante, proporcionando información detallada sobre los</w:t>
      </w:r>
      <w:r w:rsidR="002520BF">
        <w:rPr>
          <w:rFonts w:ascii="Nirmala UI" w:eastAsia="Nirmala UI" w:hAnsi="Nirmala UI" w:cs="Nirmala UI"/>
          <w:color w:val="000000"/>
          <w:sz w:val="24"/>
          <w:szCs w:val="24"/>
        </w:rPr>
        <w:t xml:space="preserve"> recursos financieros, humanos,</w:t>
      </w:r>
      <w:r w:rsidRPr="006D1F0F">
        <w:rPr>
          <w:rFonts w:ascii="Nirmala UI" w:eastAsia="Nirmala UI" w:hAnsi="Nirmala UI" w:cs="Nirmala UI"/>
          <w:color w:val="000000"/>
          <w:sz w:val="24"/>
          <w:szCs w:val="24"/>
        </w:rPr>
        <w:t xml:space="preserve"> materiales</w:t>
      </w:r>
      <w:r w:rsidR="002520BF">
        <w:rPr>
          <w:rFonts w:ascii="Nirmala UI" w:eastAsia="Nirmala UI" w:hAnsi="Nirmala UI" w:cs="Nirmala UI"/>
          <w:color w:val="000000"/>
          <w:sz w:val="24"/>
          <w:szCs w:val="24"/>
        </w:rPr>
        <w:t xml:space="preserve"> y patrimoniales</w:t>
      </w:r>
      <w:r w:rsidRPr="006D1F0F">
        <w:rPr>
          <w:rFonts w:ascii="Nirmala UI" w:eastAsia="Nirmala UI" w:hAnsi="Nirmala UI" w:cs="Nirmala UI"/>
          <w:color w:val="000000"/>
          <w:sz w:val="24"/>
          <w:szCs w:val="24"/>
        </w:rPr>
        <w:t xml:space="preserve"> del municipio. Su correcta realización resulta vital no solo para el buen funcionamiento del ayuntamiento, sino también para fortalecer la confianza de la ciudadanía en sus autoridades.</w:t>
      </w:r>
    </w:p>
    <w:p w:rsidR="006D1F0F" w:rsidRPr="006D1F0F" w:rsidRDefault="006D1F0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6D1F0F" w:rsidRPr="006D1F0F" w:rsidRDefault="006D1F0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r w:rsidRPr="006D1F0F">
        <w:rPr>
          <w:rFonts w:ascii="Nirmala UI" w:eastAsia="Nirmala UI" w:hAnsi="Nirmala UI" w:cs="Nirmala UI"/>
          <w:color w:val="000000"/>
          <w:sz w:val="24"/>
          <w:szCs w:val="24"/>
        </w:rPr>
        <w:t>Uno de los principales propósitos del proceso de entrega-recepción es asegurar la rendición de cuentas. La administración saliente debe presentar un informe detallado y verificable sobre el estado en que deja el municipio, incluyendo los avances de los programas y proyectos, el presupuesto ejercido y el inventario del patrimonio público. Esta transparencia facilita que la nueva administración tome decisiones informadas y continúe los trabajos pendientes, evitando duplicar esfuerzos o incurrir en irregularidades..</w:t>
      </w:r>
    </w:p>
    <w:p w:rsidR="006D1F0F" w:rsidRPr="006D1F0F" w:rsidRDefault="006D1F0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2520BF" w:rsidRDefault="006D1F0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r w:rsidRPr="006D1F0F">
        <w:rPr>
          <w:rFonts w:ascii="Nirmala UI" w:eastAsia="Nirmala UI" w:hAnsi="Nirmala UI" w:cs="Nirmala UI"/>
          <w:color w:val="000000"/>
          <w:sz w:val="24"/>
          <w:szCs w:val="24"/>
        </w:rPr>
        <w:t xml:space="preserve">La importancia del proceso de entrega-recepción para la ciudadanía radica en que representa un compromiso con la vigilancia del uso adecuado del dinero público. </w:t>
      </w:r>
    </w:p>
    <w:p w:rsidR="002520BF" w:rsidRDefault="002520B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2520BF" w:rsidRDefault="002520B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2520BF" w:rsidRDefault="002520B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2520BF" w:rsidRDefault="002520B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2520BF" w:rsidRDefault="002520B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6D1F0F" w:rsidRPr="006D1F0F" w:rsidRDefault="002520B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Los recursos financieros, </w:t>
      </w:r>
      <w:r w:rsidR="006D1F0F" w:rsidRPr="006D1F0F">
        <w:rPr>
          <w:rFonts w:ascii="Nirmala UI" w:eastAsia="Nirmala UI" w:hAnsi="Nirmala UI" w:cs="Nirmala UI"/>
          <w:color w:val="000000"/>
          <w:sz w:val="24"/>
          <w:szCs w:val="24"/>
        </w:rPr>
        <w:t>materiales</w:t>
      </w:r>
      <w:r>
        <w:rPr>
          <w:rFonts w:ascii="Nirmala UI" w:eastAsia="Nirmala UI" w:hAnsi="Nirmala UI" w:cs="Nirmala UI"/>
          <w:color w:val="000000"/>
          <w:sz w:val="24"/>
          <w:szCs w:val="24"/>
        </w:rPr>
        <w:t xml:space="preserve"> y patrimoniales</w:t>
      </w:r>
      <w:r w:rsidR="006D1F0F" w:rsidRPr="006D1F0F">
        <w:rPr>
          <w:rFonts w:ascii="Nirmala UI" w:eastAsia="Nirmala UI" w:hAnsi="Nirmala UI" w:cs="Nirmala UI"/>
          <w:color w:val="000000"/>
          <w:sz w:val="24"/>
          <w:szCs w:val="24"/>
        </w:rPr>
        <w:t xml:space="preserve"> de un ayuntamiento pertenecen a los habitantes del municipio, por lo que es indispensable garantizar su manejo transparente y eficiente. Cuando este proceso se lleva a cabo con responsabilidad, se fomenta la participación ciudadana y se refuerza el control social sobre el ejercicio de la función pública.</w:t>
      </w:r>
    </w:p>
    <w:p w:rsidR="006D1F0F" w:rsidRPr="006D1F0F" w:rsidRDefault="006D1F0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6D1F0F" w:rsidRPr="006D1F0F" w:rsidRDefault="006D1F0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r w:rsidRPr="006D1F0F">
        <w:rPr>
          <w:rFonts w:ascii="Nirmala UI" w:eastAsia="Nirmala UI" w:hAnsi="Nirmala UI" w:cs="Nirmala UI"/>
          <w:color w:val="000000"/>
          <w:sz w:val="24"/>
          <w:szCs w:val="24"/>
        </w:rPr>
        <w:t>Asimismo, el proceso contribuye a proteger el patrimonio público, que abarca bienes inmuebles, equipos, maquinaria y otros recursos indispensables para el funcionamiento del municipio. Al documentar de manera rigurosa el estado y ubicación de dichos bienes, se evita su pérdida, mal uso o deterioro injustificado. Esto garantiza que los bienes continúen al servicio de la ciudadanía y se preserven para las generaciones futuras.</w:t>
      </w:r>
    </w:p>
    <w:p w:rsidR="006D1F0F" w:rsidRPr="006D1F0F" w:rsidRDefault="006D1F0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6D1F0F" w:rsidRDefault="006D1F0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r w:rsidRPr="006D1F0F">
        <w:rPr>
          <w:rFonts w:ascii="Nirmala UI" w:eastAsia="Nirmala UI" w:hAnsi="Nirmala UI" w:cs="Nirmala UI"/>
          <w:color w:val="000000"/>
          <w:sz w:val="24"/>
          <w:szCs w:val="24"/>
        </w:rPr>
        <w:t>En conclusión, la entrega-recepción es un proceso clave para la transición ordenada entre administraciones municipales. No solo garantiza la continuidad de los servicios públicos, sino que también fortalece la rendición de cuentas y la transparencia. La correcta vigilancia del dinero y el patrimonio público impacta positivamente en la confianza ciudadana y en el desarrollo de un gobierno local eficiente y responsable.</w:t>
      </w:r>
    </w:p>
    <w:p w:rsidR="002520BF" w:rsidRDefault="002520BF" w:rsidP="006D1F0F">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6D1F0F" w:rsidRPr="002520BF" w:rsidRDefault="002520BF" w:rsidP="002520BF">
      <w:pPr>
        <w:pStyle w:val="Prrafodelista"/>
        <w:numPr>
          <w:ilvl w:val="0"/>
          <w:numId w:val="3"/>
        </w:numPr>
        <w:pBdr>
          <w:top w:val="nil"/>
          <w:left w:val="nil"/>
          <w:bottom w:val="nil"/>
          <w:right w:val="nil"/>
          <w:between w:val="nil"/>
        </w:pBdr>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El Reglamento Interior del Ayuntamiento de Zapotlán el Grande en su artículo 13 señala que el procedimiento que deberá seguirse dentro del mismo proceso, mismo que para mayor claridad se inserta: </w:t>
      </w:r>
    </w:p>
    <w:p w:rsidR="006D1F0F" w:rsidRPr="002520BF" w:rsidRDefault="006D1F0F" w:rsidP="002520BF">
      <w:pPr>
        <w:autoSpaceDE w:val="0"/>
        <w:autoSpaceDN w:val="0"/>
        <w:adjustRightInd w:val="0"/>
        <w:rPr>
          <w:rFonts w:ascii="Ebrima" w:hAnsi="Ebrima" w:cs="Arial-ItalicMT"/>
          <w:i/>
          <w:iCs/>
          <w:kern w:val="0"/>
          <w:sz w:val="22"/>
          <w:szCs w:val="22"/>
        </w:rPr>
      </w:pPr>
      <w:r w:rsidRPr="002520BF">
        <w:rPr>
          <w:rFonts w:ascii="Ebrima" w:hAnsi="Ebrima" w:cs="Arial-BoldMT"/>
          <w:b/>
          <w:bCs/>
          <w:kern w:val="0"/>
          <w:sz w:val="22"/>
          <w:szCs w:val="22"/>
        </w:rPr>
        <w:t xml:space="preserve">Artículo 13.- </w:t>
      </w:r>
    </w:p>
    <w:p w:rsidR="006D1F0F" w:rsidRPr="002520BF" w:rsidRDefault="006D1F0F" w:rsidP="002520BF">
      <w:pPr>
        <w:autoSpaceDE w:val="0"/>
        <w:autoSpaceDN w:val="0"/>
        <w:adjustRightInd w:val="0"/>
        <w:jc w:val="both"/>
        <w:rPr>
          <w:rFonts w:ascii="Ebrima" w:hAnsi="Ebrima" w:cs="ArialMT"/>
          <w:kern w:val="0"/>
          <w:sz w:val="22"/>
          <w:szCs w:val="22"/>
        </w:rPr>
      </w:pPr>
      <w:r w:rsidRPr="002520BF">
        <w:rPr>
          <w:rFonts w:ascii="Ebrima" w:hAnsi="Ebrima" w:cs="ArialMT"/>
          <w:kern w:val="0"/>
          <w:sz w:val="22"/>
          <w:szCs w:val="22"/>
        </w:rPr>
        <w:t>1. El Ayuntamiento entrante debe proceder, a través de sus dependencias y entidades, a realizar el</w:t>
      </w:r>
      <w:r w:rsidR="002520BF">
        <w:rPr>
          <w:rFonts w:ascii="Ebrima" w:hAnsi="Ebrima" w:cs="ArialMT"/>
          <w:kern w:val="0"/>
          <w:sz w:val="22"/>
          <w:szCs w:val="22"/>
        </w:rPr>
        <w:t xml:space="preserve"> </w:t>
      </w:r>
      <w:r w:rsidRPr="002520BF">
        <w:rPr>
          <w:rFonts w:ascii="Ebrima" w:hAnsi="Ebrima" w:cs="ArialMT"/>
          <w:kern w:val="0"/>
          <w:sz w:val="22"/>
          <w:szCs w:val="22"/>
        </w:rPr>
        <w:t>inventario del patrimonio municipal existente, de conformidad con el siguiente procedimiento:</w:t>
      </w:r>
    </w:p>
    <w:p w:rsidR="006D1F0F" w:rsidRDefault="006D1F0F" w:rsidP="002520BF">
      <w:pPr>
        <w:autoSpaceDE w:val="0"/>
        <w:autoSpaceDN w:val="0"/>
        <w:adjustRightInd w:val="0"/>
        <w:jc w:val="both"/>
        <w:rPr>
          <w:rFonts w:ascii="Ebrima" w:hAnsi="Ebrima" w:cs="ArialMT"/>
          <w:kern w:val="0"/>
          <w:sz w:val="22"/>
          <w:szCs w:val="22"/>
        </w:rPr>
      </w:pPr>
      <w:r w:rsidRPr="002520BF">
        <w:rPr>
          <w:rFonts w:ascii="Ebrima" w:hAnsi="Ebrima" w:cs="ArialMT"/>
          <w:kern w:val="0"/>
          <w:sz w:val="22"/>
          <w:szCs w:val="22"/>
        </w:rPr>
        <w:t>I Las dependencias y entidades que integran la administración pública municipal deben remitir a la</w:t>
      </w:r>
      <w:r w:rsidR="002520BF">
        <w:rPr>
          <w:rFonts w:ascii="Ebrima" w:hAnsi="Ebrima" w:cs="ArialMT"/>
          <w:kern w:val="0"/>
          <w:sz w:val="22"/>
          <w:szCs w:val="22"/>
        </w:rPr>
        <w:t xml:space="preserve"> </w:t>
      </w:r>
      <w:r w:rsidRPr="002520BF">
        <w:rPr>
          <w:rFonts w:ascii="Ebrima" w:hAnsi="Ebrima" w:cs="ArialMT"/>
          <w:kern w:val="0"/>
          <w:sz w:val="22"/>
          <w:szCs w:val="22"/>
        </w:rPr>
        <w:t>comisión edilicia de Hacienda Pública y Patrimonio Municipal a más tardar el día 20 veinte de</w:t>
      </w:r>
      <w:r w:rsidR="002520BF">
        <w:rPr>
          <w:rFonts w:ascii="Ebrima" w:hAnsi="Ebrima" w:cs="ArialMT"/>
          <w:kern w:val="0"/>
          <w:sz w:val="22"/>
          <w:szCs w:val="22"/>
        </w:rPr>
        <w:t xml:space="preserve"> </w:t>
      </w:r>
      <w:r w:rsidRPr="002520BF">
        <w:rPr>
          <w:rFonts w:ascii="Ebrima" w:hAnsi="Ebrima" w:cs="ArialMT"/>
          <w:kern w:val="0"/>
          <w:sz w:val="22"/>
          <w:szCs w:val="22"/>
        </w:rPr>
        <w:t>octubre del año del cambio de administración, la información relativa a los bienes, derechos</w:t>
      </w:r>
      <w:r w:rsidR="002520BF">
        <w:rPr>
          <w:rFonts w:ascii="Ebrima" w:hAnsi="Ebrima" w:cs="ArialMT"/>
          <w:kern w:val="0"/>
          <w:sz w:val="22"/>
          <w:szCs w:val="22"/>
        </w:rPr>
        <w:t xml:space="preserve"> </w:t>
      </w:r>
      <w:r w:rsidRPr="002520BF">
        <w:rPr>
          <w:rFonts w:ascii="Ebrima" w:hAnsi="Ebrima" w:cs="ArialMT"/>
          <w:kern w:val="0"/>
          <w:sz w:val="22"/>
          <w:szCs w:val="22"/>
        </w:rPr>
        <w:t>y</w:t>
      </w:r>
      <w:r w:rsidR="002520BF">
        <w:rPr>
          <w:rFonts w:ascii="Ebrima" w:hAnsi="Ebrima" w:cs="ArialMT"/>
          <w:kern w:val="0"/>
          <w:sz w:val="22"/>
          <w:szCs w:val="22"/>
        </w:rPr>
        <w:t xml:space="preserve"> </w:t>
      </w:r>
      <w:r w:rsidRPr="002520BF">
        <w:rPr>
          <w:rFonts w:ascii="Ebrima" w:hAnsi="Ebrima" w:cs="ArialMT"/>
          <w:kern w:val="0"/>
          <w:sz w:val="22"/>
          <w:szCs w:val="22"/>
        </w:rPr>
        <w:t>obligaciones con que cuentan para el ejercicio de sus funciones, en los formatos y manuales</w:t>
      </w:r>
      <w:r w:rsidR="002520BF">
        <w:rPr>
          <w:rFonts w:ascii="Ebrima" w:hAnsi="Ebrima" w:cs="ArialMT"/>
          <w:kern w:val="0"/>
          <w:sz w:val="22"/>
          <w:szCs w:val="22"/>
        </w:rPr>
        <w:t xml:space="preserve"> </w:t>
      </w:r>
      <w:r w:rsidRPr="002520BF">
        <w:rPr>
          <w:rFonts w:ascii="Ebrima" w:hAnsi="Ebrima" w:cs="ArialMT"/>
          <w:kern w:val="0"/>
          <w:sz w:val="22"/>
          <w:szCs w:val="22"/>
        </w:rPr>
        <w:t>proporcionados por la dependencia municipal competente.</w:t>
      </w:r>
    </w:p>
    <w:p w:rsidR="002520BF" w:rsidRDefault="002520BF" w:rsidP="002520BF">
      <w:pPr>
        <w:autoSpaceDE w:val="0"/>
        <w:autoSpaceDN w:val="0"/>
        <w:adjustRightInd w:val="0"/>
        <w:jc w:val="both"/>
        <w:rPr>
          <w:rFonts w:ascii="Ebrima" w:hAnsi="Ebrima" w:cs="ArialMT"/>
          <w:kern w:val="0"/>
          <w:sz w:val="22"/>
          <w:szCs w:val="22"/>
        </w:rPr>
      </w:pPr>
    </w:p>
    <w:p w:rsidR="002520BF" w:rsidRPr="002520BF" w:rsidRDefault="002520BF" w:rsidP="002520BF">
      <w:pPr>
        <w:autoSpaceDE w:val="0"/>
        <w:autoSpaceDN w:val="0"/>
        <w:adjustRightInd w:val="0"/>
        <w:jc w:val="both"/>
        <w:rPr>
          <w:rFonts w:ascii="Ebrima" w:hAnsi="Ebrima" w:cs="ArialMT"/>
          <w:kern w:val="0"/>
          <w:sz w:val="22"/>
          <w:szCs w:val="22"/>
        </w:rPr>
      </w:pPr>
    </w:p>
    <w:p w:rsidR="006D1F0F" w:rsidRDefault="006D1F0F" w:rsidP="002520BF">
      <w:pPr>
        <w:autoSpaceDE w:val="0"/>
        <w:autoSpaceDN w:val="0"/>
        <w:adjustRightInd w:val="0"/>
        <w:jc w:val="both"/>
        <w:rPr>
          <w:rFonts w:ascii="Ebrima" w:hAnsi="Ebrima" w:cs="ArialMT"/>
          <w:kern w:val="0"/>
          <w:sz w:val="22"/>
          <w:szCs w:val="22"/>
        </w:rPr>
      </w:pPr>
      <w:r w:rsidRPr="002520BF">
        <w:rPr>
          <w:rFonts w:ascii="Ebrima" w:hAnsi="Ebrima" w:cs="ArialMT"/>
          <w:kern w:val="0"/>
          <w:sz w:val="22"/>
          <w:szCs w:val="22"/>
        </w:rPr>
        <w:t xml:space="preserve">II A más tardar el día 30 treinta del mes octubre del año en que inicia </w:t>
      </w:r>
      <w:r w:rsidR="002520BF">
        <w:rPr>
          <w:rFonts w:ascii="Ebrima" w:hAnsi="Ebrima" w:cs="ArialMT"/>
          <w:kern w:val="0"/>
          <w:sz w:val="22"/>
          <w:szCs w:val="22"/>
        </w:rPr>
        <w:t xml:space="preserve">el ejercicio constitucional del </w:t>
      </w:r>
      <w:r w:rsidRPr="002520BF">
        <w:rPr>
          <w:rFonts w:ascii="Ebrima" w:hAnsi="Ebrima" w:cs="ArialMT"/>
          <w:kern w:val="0"/>
          <w:sz w:val="22"/>
          <w:szCs w:val="22"/>
        </w:rPr>
        <w:t>Ayuntamiento, la comisión edilicia de Hacienda Pública y Patrimonio Municipal debe entregar al</w:t>
      </w:r>
      <w:r w:rsidR="002520BF">
        <w:rPr>
          <w:rFonts w:ascii="Ebrima" w:hAnsi="Ebrima" w:cs="ArialMT"/>
          <w:kern w:val="0"/>
          <w:sz w:val="22"/>
          <w:szCs w:val="22"/>
        </w:rPr>
        <w:t xml:space="preserve"> </w:t>
      </w:r>
      <w:r w:rsidRPr="002520BF">
        <w:rPr>
          <w:rFonts w:ascii="Ebrima" w:hAnsi="Ebrima" w:cs="ArialMT"/>
          <w:kern w:val="0"/>
          <w:sz w:val="22"/>
          <w:szCs w:val="22"/>
        </w:rPr>
        <w:t>órgano de gobierno municipal, el proyecto del inventario pormenorizado de los bienes, derechos y</w:t>
      </w:r>
      <w:r w:rsidR="002520BF">
        <w:rPr>
          <w:rFonts w:ascii="Ebrima" w:hAnsi="Ebrima" w:cs="ArialMT"/>
          <w:kern w:val="0"/>
          <w:sz w:val="22"/>
          <w:szCs w:val="22"/>
        </w:rPr>
        <w:t xml:space="preserve"> </w:t>
      </w:r>
      <w:r w:rsidRPr="002520BF">
        <w:rPr>
          <w:rFonts w:ascii="Ebrima" w:hAnsi="Ebrima" w:cs="ArialMT"/>
          <w:kern w:val="0"/>
          <w:sz w:val="22"/>
          <w:szCs w:val="22"/>
        </w:rPr>
        <w:t>obligaciones que integran el patrimonio municipal, a efecto de que éste proceda a su estudio, análisis</w:t>
      </w:r>
      <w:r w:rsidR="002520BF">
        <w:rPr>
          <w:rFonts w:ascii="Ebrima" w:hAnsi="Ebrima" w:cs="ArialMT"/>
          <w:kern w:val="0"/>
          <w:sz w:val="22"/>
          <w:szCs w:val="22"/>
        </w:rPr>
        <w:t xml:space="preserve"> </w:t>
      </w:r>
      <w:r w:rsidRPr="002520BF">
        <w:rPr>
          <w:rFonts w:ascii="Ebrima" w:hAnsi="Ebrima" w:cs="ArialMT"/>
          <w:kern w:val="0"/>
          <w:sz w:val="22"/>
          <w:szCs w:val="22"/>
        </w:rPr>
        <w:t>y realice, en su caso, las modificaciones pertinentes para su aprobación.</w:t>
      </w:r>
    </w:p>
    <w:p w:rsidR="002520BF" w:rsidRPr="002520BF" w:rsidRDefault="002520BF" w:rsidP="002520BF">
      <w:pPr>
        <w:autoSpaceDE w:val="0"/>
        <w:autoSpaceDN w:val="0"/>
        <w:adjustRightInd w:val="0"/>
        <w:jc w:val="both"/>
        <w:rPr>
          <w:rFonts w:ascii="Ebrima" w:hAnsi="Ebrima" w:cs="ArialMT"/>
          <w:kern w:val="0"/>
          <w:sz w:val="22"/>
          <w:szCs w:val="22"/>
        </w:rPr>
      </w:pPr>
    </w:p>
    <w:p w:rsidR="006D1F0F" w:rsidRDefault="006D1F0F" w:rsidP="002520BF">
      <w:pPr>
        <w:autoSpaceDE w:val="0"/>
        <w:autoSpaceDN w:val="0"/>
        <w:adjustRightInd w:val="0"/>
        <w:jc w:val="both"/>
        <w:rPr>
          <w:rFonts w:ascii="Ebrima" w:hAnsi="Ebrima" w:cs="ArialMT"/>
          <w:b/>
          <w:kern w:val="0"/>
          <w:sz w:val="22"/>
          <w:szCs w:val="22"/>
        </w:rPr>
      </w:pPr>
      <w:r w:rsidRPr="002520BF">
        <w:rPr>
          <w:rFonts w:ascii="Ebrima" w:hAnsi="Ebrima" w:cs="ArialMT"/>
          <w:b/>
          <w:kern w:val="0"/>
          <w:sz w:val="22"/>
          <w:szCs w:val="22"/>
        </w:rPr>
        <w:t>III El inventario presentado por la administración saliente, así como el inventario a que se refiere este</w:t>
      </w:r>
      <w:r w:rsidR="002520BF" w:rsidRPr="002520BF">
        <w:rPr>
          <w:rFonts w:ascii="Ebrima" w:hAnsi="Ebrima" w:cs="ArialMT"/>
          <w:b/>
          <w:kern w:val="0"/>
          <w:sz w:val="22"/>
          <w:szCs w:val="22"/>
        </w:rPr>
        <w:t xml:space="preserve"> </w:t>
      </w:r>
      <w:r w:rsidRPr="002520BF">
        <w:rPr>
          <w:rFonts w:ascii="Ebrima" w:hAnsi="Ebrima" w:cs="ArialMT"/>
          <w:b/>
          <w:kern w:val="0"/>
          <w:sz w:val="22"/>
          <w:szCs w:val="22"/>
        </w:rPr>
        <w:t xml:space="preserve">artículo, se turnan a la comisión edilicia de Hacienda Pública </w:t>
      </w:r>
      <w:r w:rsidR="002520BF" w:rsidRPr="002520BF">
        <w:rPr>
          <w:rFonts w:ascii="Ebrima" w:hAnsi="Ebrima" w:cs="ArialMT"/>
          <w:b/>
          <w:kern w:val="0"/>
          <w:sz w:val="22"/>
          <w:szCs w:val="22"/>
        </w:rPr>
        <w:t xml:space="preserve">y Patrimonio Municipal para que </w:t>
      </w:r>
      <w:r w:rsidRPr="002520BF">
        <w:rPr>
          <w:rFonts w:ascii="Ebrima" w:hAnsi="Ebrima" w:cs="ArialMT"/>
          <w:b/>
          <w:kern w:val="0"/>
          <w:sz w:val="22"/>
          <w:szCs w:val="22"/>
        </w:rPr>
        <w:t>proceda a realizar el cotejo a que se refiere la ley estatal que establece las bases generales de la</w:t>
      </w:r>
      <w:r w:rsidR="002520BF" w:rsidRPr="002520BF">
        <w:rPr>
          <w:rFonts w:ascii="Ebrima" w:hAnsi="Ebrima" w:cs="ArialMT"/>
          <w:b/>
          <w:kern w:val="0"/>
          <w:sz w:val="22"/>
          <w:szCs w:val="22"/>
        </w:rPr>
        <w:t xml:space="preserve"> </w:t>
      </w:r>
      <w:r w:rsidRPr="002520BF">
        <w:rPr>
          <w:rFonts w:ascii="Ebrima" w:hAnsi="Ebrima" w:cs="ArialMT"/>
          <w:b/>
          <w:kern w:val="0"/>
          <w:sz w:val="22"/>
          <w:szCs w:val="22"/>
        </w:rPr>
        <w:t>administración pública municipal.</w:t>
      </w:r>
    </w:p>
    <w:p w:rsidR="002520BF" w:rsidRPr="002520BF" w:rsidRDefault="002520BF" w:rsidP="002520BF">
      <w:pPr>
        <w:autoSpaceDE w:val="0"/>
        <w:autoSpaceDN w:val="0"/>
        <w:adjustRightInd w:val="0"/>
        <w:jc w:val="both"/>
        <w:rPr>
          <w:rFonts w:ascii="Ebrima" w:hAnsi="Ebrima" w:cs="ArialMT"/>
          <w:b/>
          <w:kern w:val="0"/>
          <w:sz w:val="22"/>
          <w:szCs w:val="22"/>
        </w:rPr>
      </w:pPr>
    </w:p>
    <w:p w:rsidR="006D1F0F" w:rsidRPr="002520BF" w:rsidRDefault="006D1F0F" w:rsidP="002520BF">
      <w:pPr>
        <w:autoSpaceDE w:val="0"/>
        <w:autoSpaceDN w:val="0"/>
        <w:adjustRightInd w:val="0"/>
        <w:jc w:val="both"/>
        <w:rPr>
          <w:rFonts w:ascii="Ebrima" w:hAnsi="Ebrima" w:cs="ArialMT"/>
          <w:b/>
          <w:kern w:val="0"/>
          <w:sz w:val="22"/>
          <w:szCs w:val="22"/>
        </w:rPr>
      </w:pPr>
      <w:r w:rsidRPr="002520BF">
        <w:rPr>
          <w:rFonts w:ascii="Ebrima" w:hAnsi="Ebrima" w:cs="ArialMT"/>
          <w:b/>
          <w:kern w:val="0"/>
          <w:sz w:val="22"/>
          <w:szCs w:val="22"/>
        </w:rPr>
        <w:t>IV La comisión edilicia de Hacienda Pública y Patrimonio debe presentar, a más tardar el día 30 treinta</w:t>
      </w:r>
      <w:r w:rsidR="002520BF" w:rsidRPr="002520BF">
        <w:rPr>
          <w:rFonts w:ascii="Ebrima" w:hAnsi="Ebrima" w:cs="ArialMT"/>
          <w:b/>
          <w:kern w:val="0"/>
          <w:sz w:val="22"/>
          <w:szCs w:val="22"/>
        </w:rPr>
        <w:t xml:space="preserve"> </w:t>
      </w:r>
      <w:r w:rsidRPr="002520BF">
        <w:rPr>
          <w:rFonts w:ascii="Ebrima" w:hAnsi="Ebrima" w:cs="ArialMT"/>
          <w:b/>
          <w:kern w:val="0"/>
          <w:sz w:val="22"/>
          <w:szCs w:val="22"/>
        </w:rPr>
        <w:t>de noviembre del año que inicia la administración municipal, el dictamen que contiene el resultado</w:t>
      </w:r>
      <w:r w:rsidR="002520BF" w:rsidRPr="002520BF">
        <w:rPr>
          <w:rFonts w:ascii="Ebrima" w:hAnsi="Ebrima" w:cs="ArialMT"/>
          <w:b/>
          <w:kern w:val="0"/>
          <w:sz w:val="22"/>
          <w:szCs w:val="22"/>
        </w:rPr>
        <w:t xml:space="preserve"> </w:t>
      </w:r>
      <w:r w:rsidRPr="002520BF">
        <w:rPr>
          <w:rFonts w:ascii="Ebrima" w:hAnsi="Ebrima" w:cs="ArialMT"/>
          <w:b/>
          <w:kern w:val="0"/>
          <w:sz w:val="22"/>
          <w:szCs w:val="22"/>
        </w:rPr>
        <w:t>del cotejo efectuado así como anexar una relación del estado en que se encuentren los bienes de</w:t>
      </w:r>
      <w:r w:rsidR="002520BF" w:rsidRPr="002520BF">
        <w:rPr>
          <w:rFonts w:ascii="Ebrima" w:hAnsi="Ebrima" w:cs="ArialMT"/>
          <w:b/>
          <w:kern w:val="0"/>
          <w:sz w:val="22"/>
          <w:szCs w:val="22"/>
        </w:rPr>
        <w:t xml:space="preserve"> </w:t>
      </w:r>
      <w:r w:rsidRPr="002520BF">
        <w:rPr>
          <w:rFonts w:ascii="Ebrima" w:hAnsi="Ebrima" w:cs="ArialMT"/>
          <w:b/>
          <w:kern w:val="0"/>
          <w:sz w:val="22"/>
          <w:szCs w:val="22"/>
        </w:rPr>
        <w:t>dominio público con que cuenta el Municipio.</w:t>
      </w:r>
    </w:p>
    <w:p w:rsidR="002520BF" w:rsidRPr="002520BF" w:rsidRDefault="002520BF" w:rsidP="002520BF">
      <w:pPr>
        <w:autoSpaceDE w:val="0"/>
        <w:autoSpaceDN w:val="0"/>
        <w:adjustRightInd w:val="0"/>
        <w:jc w:val="both"/>
        <w:rPr>
          <w:rFonts w:ascii="Ebrima" w:hAnsi="Ebrima" w:cs="ArialMT"/>
          <w:kern w:val="0"/>
          <w:sz w:val="22"/>
          <w:szCs w:val="22"/>
        </w:rPr>
      </w:pPr>
    </w:p>
    <w:p w:rsidR="006D1F0F" w:rsidRPr="002520BF" w:rsidRDefault="006D1F0F" w:rsidP="002520BF">
      <w:pPr>
        <w:autoSpaceDE w:val="0"/>
        <w:autoSpaceDN w:val="0"/>
        <w:adjustRightInd w:val="0"/>
        <w:jc w:val="both"/>
        <w:rPr>
          <w:rFonts w:ascii="Ebrima" w:eastAsia="Nirmala UI" w:hAnsi="Ebrima" w:cs="Nirmala UI"/>
          <w:b/>
          <w:color w:val="000000"/>
          <w:sz w:val="22"/>
          <w:szCs w:val="22"/>
        </w:rPr>
      </w:pPr>
      <w:r w:rsidRPr="002520BF">
        <w:rPr>
          <w:rFonts w:ascii="Ebrima" w:hAnsi="Ebrima" w:cs="ArialMT"/>
          <w:b/>
          <w:kern w:val="0"/>
          <w:sz w:val="22"/>
          <w:szCs w:val="22"/>
        </w:rPr>
        <w:t>V El Ayuntamiento debe proceder al estudio y análisis del dictamen y las conclusiones deben ser</w:t>
      </w:r>
      <w:r w:rsidR="002520BF" w:rsidRPr="002520BF">
        <w:rPr>
          <w:rFonts w:ascii="Ebrima" w:hAnsi="Ebrima" w:cs="ArialMT"/>
          <w:b/>
          <w:kern w:val="0"/>
          <w:sz w:val="22"/>
          <w:szCs w:val="22"/>
        </w:rPr>
        <w:t xml:space="preserve"> </w:t>
      </w:r>
      <w:r w:rsidRPr="002520BF">
        <w:rPr>
          <w:rFonts w:ascii="Ebrima" w:hAnsi="Ebrima" w:cs="ArialMT"/>
          <w:b/>
          <w:kern w:val="0"/>
          <w:sz w:val="22"/>
          <w:szCs w:val="22"/>
        </w:rPr>
        <w:t>remitidas al órgano de fiscalización del Congreso del Estado y a la dependencia de fiscalización</w:t>
      </w:r>
      <w:r w:rsidR="002520BF" w:rsidRPr="002520BF">
        <w:rPr>
          <w:rFonts w:ascii="Ebrima" w:hAnsi="Ebrima" w:cs="ArialMT"/>
          <w:b/>
          <w:kern w:val="0"/>
          <w:sz w:val="22"/>
          <w:szCs w:val="22"/>
        </w:rPr>
        <w:t xml:space="preserve"> </w:t>
      </w:r>
      <w:r w:rsidRPr="002520BF">
        <w:rPr>
          <w:rFonts w:ascii="Ebrima" w:hAnsi="Ebrima" w:cs="ArialMT"/>
          <w:b/>
          <w:kern w:val="0"/>
          <w:sz w:val="22"/>
          <w:szCs w:val="22"/>
        </w:rPr>
        <w:t>municipal para los efectos legales correspondientes.</w:t>
      </w:r>
    </w:p>
    <w:p w:rsidR="006D1F0F" w:rsidRDefault="006D1F0F" w:rsidP="002520BF">
      <w:pPr>
        <w:jc w:val="both"/>
        <w:rPr>
          <w:rFonts w:ascii="Ebrima" w:eastAsia="Nirmala UI" w:hAnsi="Ebrima" w:cs="Nirmala UI"/>
          <w:color w:val="000000"/>
        </w:rPr>
      </w:pPr>
    </w:p>
    <w:p w:rsidR="002520BF" w:rsidRPr="002520BF" w:rsidRDefault="002520BF" w:rsidP="002520BF">
      <w:pPr>
        <w:jc w:val="both"/>
        <w:rPr>
          <w:rFonts w:ascii="Ebrima" w:eastAsia="Nirmala UI" w:hAnsi="Ebrima" w:cs="Nirmala UI"/>
          <w:color w:val="000000"/>
        </w:rPr>
      </w:pPr>
      <w:r>
        <w:rPr>
          <w:rFonts w:ascii="Ebrima" w:eastAsia="Nirmala UI" w:hAnsi="Ebrima" w:cs="Nirmala UI"/>
          <w:color w:val="000000"/>
        </w:rPr>
        <w:t>Es un hecho público y notorio, que nos encontramos trasgrediendo el artículo 13 fracción III, IV y V; responsabilidad que tenemos todos los integrantes del ayuntamiento constitucional del municipio de Zapotlán el Grande, y que hasta la fecha de la presentación de la presente iniciativa, 17 de diciembre de la presente anualidad, no ha sido discutido el dictamen en la Comisión de Hacienda Municipal y en el pleno del ayuntamiento de Zapotlán el Grande.</w:t>
      </w:r>
    </w:p>
    <w:p w:rsidR="002520BF" w:rsidRDefault="002520BF" w:rsidP="002520BF">
      <w:pPr>
        <w:jc w:val="both"/>
        <w:rPr>
          <w:rFonts w:ascii="Ebrima" w:eastAsia="Nirmala UI" w:hAnsi="Ebrima" w:cs="Nirmala UI"/>
          <w:color w:val="000000"/>
          <w:kern w:val="0"/>
          <w:sz w:val="22"/>
          <w:szCs w:val="22"/>
          <w14:ligatures w14:val="none"/>
        </w:rPr>
      </w:pPr>
    </w:p>
    <w:p w:rsidR="002520BF" w:rsidRDefault="007320C7" w:rsidP="002520BF">
      <w:pPr>
        <w:jc w:val="both"/>
        <w:rPr>
          <w:rFonts w:ascii="Nirmala UI" w:eastAsia="Nirmala UI" w:hAnsi="Nirmala UI" w:cs="Nirmala UI"/>
          <w:color w:val="000000"/>
        </w:rPr>
      </w:pPr>
      <w:r w:rsidRPr="002520BF">
        <w:rPr>
          <w:rFonts w:ascii="Nirmala UI" w:eastAsia="Nirmala UI" w:hAnsi="Nirmala UI" w:cs="Nirmala UI"/>
          <w:color w:val="000000"/>
        </w:rPr>
        <w:t>P</w:t>
      </w:r>
      <w:r w:rsidR="00313068" w:rsidRPr="002520BF">
        <w:rPr>
          <w:rFonts w:ascii="Nirmala UI" w:eastAsia="Nirmala UI" w:hAnsi="Nirmala UI" w:cs="Nirmala UI"/>
          <w:color w:val="000000"/>
        </w:rPr>
        <w:t xml:space="preserve">or tanto, </w:t>
      </w:r>
      <w:r w:rsidR="002520BF">
        <w:rPr>
          <w:rFonts w:ascii="Nirmala UI" w:eastAsia="Nirmala UI" w:hAnsi="Nirmala UI" w:cs="Nirmala UI"/>
          <w:color w:val="000000"/>
        </w:rPr>
        <w:t>el de la voz solicita darle cumplimiento a las obligaciones contenidas en el artículo antes señalado, mediante la elaboración del dictamen, su análisis, discusión y aprobación, con la finalidad de remitir las conclusiones correspondientes al Congreso del Estado de Jalisco y a la Contraloría Municipal.</w:t>
      </w:r>
    </w:p>
    <w:p w:rsidR="002520BF" w:rsidRDefault="002520BF" w:rsidP="002520BF">
      <w:pPr>
        <w:jc w:val="both"/>
        <w:rPr>
          <w:rFonts w:ascii="Nirmala UI" w:eastAsia="Nirmala UI" w:hAnsi="Nirmala UI" w:cs="Nirmala UI"/>
          <w:color w:val="000000"/>
        </w:rPr>
      </w:pPr>
    </w:p>
    <w:p w:rsidR="002520BF" w:rsidRDefault="000C5511" w:rsidP="002520BF">
      <w:pPr>
        <w:jc w:val="both"/>
        <w:rPr>
          <w:rFonts w:ascii="Nirmala UI" w:hAnsi="Nirmala UI" w:cs="Nirmala UI"/>
        </w:rPr>
      </w:pPr>
      <w:r w:rsidRPr="008A2C29">
        <w:rPr>
          <w:rFonts w:ascii="Nirmala UI" w:hAnsi="Nirmala UI" w:cs="Nirmala UI"/>
        </w:rPr>
        <w:t xml:space="preserve">Por lo anteriormente expuesto y fundado, ante Ustedes Ciudadana Presidenta, Ciudadana Síndica, y Ciudadanos Regidores, todos del Honorable Ayuntamiento de </w:t>
      </w:r>
    </w:p>
    <w:p w:rsidR="000C5511" w:rsidRPr="002520BF" w:rsidRDefault="000C5511" w:rsidP="002520BF">
      <w:pPr>
        <w:jc w:val="both"/>
        <w:rPr>
          <w:rFonts w:ascii="Nirmala UI" w:eastAsia="Nirmala UI" w:hAnsi="Nirmala UI" w:cs="Nirmala UI"/>
          <w:color w:val="000000"/>
        </w:rPr>
      </w:pPr>
      <w:r w:rsidRPr="008A2C29">
        <w:rPr>
          <w:rFonts w:ascii="Nirmala UI" w:hAnsi="Nirmala UI" w:cs="Nirmala UI"/>
        </w:rPr>
        <w:t>Zapotlán, propongo la aprobación del siguiente punto de</w:t>
      </w:r>
    </w:p>
    <w:p w:rsidR="00661887" w:rsidRDefault="00661887" w:rsidP="009E5CD6">
      <w:pPr>
        <w:pStyle w:val="Sinespaciado"/>
        <w:jc w:val="center"/>
        <w:rPr>
          <w:rFonts w:ascii="Nirmala UI" w:hAnsi="Nirmala UI" w:cs="Nirmala UI"/>
          <w:b/>
        </w:rPr>
      </w:pPr>
    </w:p>
    <w:p w:rsidR="002520BF" w:rsidRDefault="002520BF" w:rsidP="009E5CD6">
      <w:pPr>
        <w:pStyle w:val="Sinespaciado"/>
        <w:jc w:val="center"/>
        <w:rPr>
          <w:rFonts w:ascii="Nirmala UI" w:hAnsi="Nirmala UI" w:cs="Nirmala UI"/>
          <w:b/>
        </w:rPr>
      </w:pPr>
    </w:p>
    <w:p w:rsidR="002520BF" w:rsidRDefault="002520BF" w:rsidP="009E5CD6">
      <w:pPr>
        <w:pStyle w:val="Sinespaciado"/>
        <w:jc w:val="center"/>
        <w:rPr>
          <w:rFonts w:ascii="Nirmala UI" w:hAnsi="Nirmala UI" w:cs="Nirmala UI"/>
          <w:b/>
        </w:rPr>
      </w:pPr>
    </w:p>
    <w:p w:rsidR="002520BF" w:rsidRDefault="002520BF" w:rsidP="009E5CD6">
      <w:pPr>
        <w:pStyle w:val="Sinespaciado"/>
        <w:jc w:val="center"/>
        <w:rPr>
          <w:rFonts w:ascii="Nirmala UI" w:hAnsi="Nirmala UI" w:cs="Nirmala UI"/>
          <w:b/>
        </w:rPr>
      </w:pPr>
    </w:p>
    <w:p w:rsidR="000C5511" w:rsidRPr="008A2C29" w:rsidRDefault="000C5511" w:rsidP="009E5CD6">
      <w:pPr>
        <w:pStyle w:val="Sinespaciado"/>
        <w:jc w:val="center"/>
        <w:rPr>
          <w:rFonts w:ascii="Nirmala UI" w:hAnsi="Nirmala UI" w:cs="Nirmala UI"/>
          <w:b/>
        </w:rPr>
      </w:pPr>
      <w:r w:rsidRPr="008A2C29">
        <w:rPr>
          <w:rFonts w:ascii="Nirmala UI" w:hAnsi="Nirmala UI" w:cs="Nirmala UI"/>
          <w:b/>
        </w:rPr>
        <w:t>ACUERDO:</w:t>
      </w:r>
    </w:p>
    <w:p w:rsidR="000C5511" w:rsidRPr="008A2C29" w:rsidRDefault="000C5511" w:rsidP="009E5CD6">
      <w:pPr>
        <w:pStyle w:val="Sinespaciado"/>
        <w:jc w:val="both"/>
        <w:rPr>
          <w:rFonts w:ascii="Nirmala UI" w:hAnsi="Nirmala UI" w:cs="Nirmala UI"/>
        </w:rPr>
      </w:pPr>
    </w:p>
    <w:p w:rsidR="00661887" w:rsidRDefault="000C5511" w:rsidP="009E5CD6">
      <w:pPr>
        <w:jc w:val="both"/>
        <w:rPr>
          <w:rFonts w:ascii="Nirmala UI" w:hAnsi="Nirmala UI" w:cs="Nirmala UI"/>
          <w:b/>
        </w:rPr>
      </w:pPr>
      <w:r w:rsidRPr="008A2C29">
        <w:rPr>
          <w:rFonts w:ascii="Nirmala UI" w:hAnsi="Nirmala UI" w:cs="Nirmala UI"/>
          <w:b/>
        </w:rPr>
        <w:t>PRIMERO.-</w:t>
      </w:r>
      <w:r w:rsidR="00C93905">
        <w:rPr>
          <w:rFonts w:ascii="Nirmala UI" w:hAnsi="Nirmala UI" w:cs="Nirmala UI"/>
          <w:b/>
        </w:rPr>
        <w:t xml:space="preserve"> </w:t>
      </w:r>
      <w:r w:rsidR="007320C7">
        <w:rPr>
          <w:rFonts w:ascii="Nirmala UI" w:hAnsi="Nirmala UI" w:cs="Nirmala UI"/>
          <w:b/>
        </w:rPr>
        <w:t xml:space="preserve">SE APRUEBA </w:t>
      </w:r>
      <w:r w:rsidR="0066711C">
        <w:rPr>
          <w:rFonts w:ascii="Nirmala UI" w:hAnsi="Nirmala UI" w:cs="Nirmala UI"/>
          <w:b/>
        </w:rPr>
        <w:t>DARLE CABAL CUMPLIMIENTO AL ARTÍCULO 13 DEL REGLAMENTO INTERIOR DEL AYUNTAMIENTO DE ZAPOTLÁN EL GRANDE,  RELATIVO AL PROCESO DE ENTREGA RECEPCIÓN.</w:t>
      </w:r>
    </w:p>
    <w:p w:rsidR="0066711C" w:rsidRDefault="0066711C" w:rsidP="009E5CD6">
      <w:pPr>
        <w:jc w:val="both"/>
        <w:rPr>
          <w:rFonts w:ascii="Nirmala UI" w:hAnsi="Nirmala UI" w:cs="Nirmala UI"/>
          <w:b/>
        </w:rPr>
      </w:pPr>
    </w:p>
    <w:p w:rsidR="0066711C" w:rsidRDefault="0066711C" w:rsidP="009E5CD6">
      <w:pPr>
        <w:jc w:val="both"/>
        <w:rPr>
          <w:rFonts w:ascii="Nirmala UI" w:eastAsia="Nirmala UI" w:hAnsi="Nirmala UI" w:cs="Nirmala UI"/>
          <w:color w:val="000000"/>
        </w:rPr>
      </w:pPr>
      <w:r>
        <w:rPr>
          <w:rFonts w:ascii="Nirmala UI" w:hAnsi="Nirmala UI" w:cs="Nirmala UI"/>
          <w:b/>
        </w:rPr>
        <w:t>SEGUNDO.- SE TURNA A LA COMISIÓN DE HACIENDA PARA LA ELABORACIÓN DEL INFORME RELACIONADO AL PATRIMONIO MUNICIPAL, PARA SU POSTERIOR ANALISIS, DISCUSIÓN Y EN SU CASO APROBACIÓN.</w:t>
      </w:r>
    </w:p>
    <w:p w:rsidR="000C5511" w:rsidRDefault="000C5511" w:rsidP="009E5CD6">
      <w:pPr>
        <w:pStyle w:val="Sinespaciado"/>
        <w:jc w:val="both"/>
        <w:rPr>
          <w:rFonts w:ascii="Nirmala UI" w:hAnsi="Nirmala UI" w:cs="Nirmala UI"/>
          <w:b/>
        </w:rPr>
      </w:pPr>
    </w:p>
    <w:p w:rsidR="009E5CD6" w:rsidRPr="008A2C29" w:rsidRDefault="009E5CD6" w:rsidP="009E5CD6">
      <w:pPr>
        <w:pStyle w:val="Sinespaciado"/>
        <w:jc w:val="both"/>
        <w:rPr>
          <w:rFonts w:ascii="Nirmala UI" w:hAnsi="Nirmala UI" w:cs="Nirmala UI"/>
          <w:b/>
        </w:rPr>
      </w:pPr>
    </w:p>
    <w:p w:rsidR="000C5511" w:rsidRPr="008A2C29" w:rsidRDefault="000C5511" w:rsidP="009E5CD6">
      <w:pPr>
        <w:jc w:val="center"/>
        <w:rPr>
          <w:rFonts w:ascii="Nirmala UI" w:hAnsi="Nirmala UI" w:cs="Nirmala UI"/>
        </w:rPr>
      </w:pPr>
      <w:r w:rsidRPr="008A2C29">
        <w:rPr>
          <w:rFonts w:ascii="Nirmala UI" w:hAnsi="Nirmala UI" w:cs="Nirmala UI"/>
        </w:rPr>
        <w:t>Atentamente.</w:t>
      </w:r>
    </w:p>
    <w:p w:rsidR="000C5511" w:rsidRPr="008A2C29" w:rsidRDefault="000C5511" w:rsidP="009E5CD6">
      <w:pPr>
        <w:jc w:val="center"/>
        <w:rPr>
          <w:rFonts w:ascii="Nirmala UI" w:hAnsi="Nirmala UI" w:cs="Nirmala UI"/>
        </w:rPr>
      </w:pPr>
      <w:r w:rsidRPr="008A2C29">
        <w:rPr>
          <w:rFonts w:ascii="Nirmala UI" w:hAnsi="Nirmala UI" w:cs="Nirmala UI"/>
        </w:rPr>
        <w:t>En Zapotlán El Grande, Jalisco a la fecha de su presentación</w:t>
      </w:r>
    </w:p>
    <w:p w:rsidR="000C5511" w:rsidRPr="008A2C29" w:rsidRDefault="000C5511" w:rsidP="009E5CD6">
      <w:pPr>
        <w:jc w:val="center"/>
        <w:rPr>
          <w:rFonts w:ascii="Nirmala UI" w:hAnsi="Nirmala UI" w:cs="Nirmala UI"/>
        </w:rPr>
      </w:pPr>
      <w:r w:rsidRPr="008A2C29">
        <w:rPr>
          <w:rFonts w:ascii="Nirmala UI" w:hAnsi="Nirmala UI" w:cs="Nirmala UI"/>
        </w:rPr>
        <w:t>Salón de Sesiones del Ayuntamiento de Zapotlán El Grande, Jalisco</w:t>
      </w:r>
    </w:p>
    <w:p w:rsidR="000C5511" w:rsidRPr="008A2C29" w:rsidRDefault="000C5511" w:rsidP="009E5CD6">
      <w:pPr>
        <w:jc w:val="center"/>
        <w:rPr>
          <w:rFonts w:ascii="Nirmala UI" w:hAnsi="Nirmala UI" w:cs="Nirmala UI"/>
        </w:rPr>
      </w:pPr>
    </w:p>
    <w:p w:rsidR="007320C7" w:rsidRDefault="007320C7" w:rsidP="009E5CD6">
      <w:pPr>
        <w:jc w:val="center"/>
        <w:rPr>
          <w:rFonts w:ascii="Nirmala UI" w:hAnsi="Nirmala UI" w:cs="Nirmala UI"/>
          <w:b/>
          <w:lang w:val="es-ES"/>
        </w:rPr>
      </w:pPr>
    </w:p>
    <w:p w:rsidR="007320C7" w:rsidRDefault="007320C7" w:rsidP="009E5CD6">
      <w:pPr>
        <w:jc w:val="center"/>
        <w:rPr>
          <w:rFonts w:ascii="Nirmala UI" w:hAnsi="Nirmala UI" w:cs="Nirmala UI"/>
          <w:b/>
          <w:lang w:val="es-ES"/>
        </w:rPr>
      </w:pPr>
    </w:p>
    <w:p w:rsidR="007320C7" w:rsidRDefault="007320C7" w:rsidP="009E5CD6">
      <w:pPr>
        <w:jc w:val="center"/>
        <w:rPr>
          <w:rFonts w:ascii="Nirmala UI" w:hAnsi="Nirmala UI" w:cs="Nirmala UI"/>
          <w:b/>
          <w:lang w:val="es-ES"/>
        </w:rPr>
      </w:pPr>
    </w:p>
    <w:p w:rsidR="000C5511" w:rsidRPr="008A2C29" w:rsidRDefault="000C5511" w:rsidP="009E5CD6">
      <w:pPr>
        <w:jc w:val="center"/>
        <w:rPr>
          <w:rFonts w:ascii="Nirmala UI" w:hAnsi="Nirmala UI" w:cs="Nirmala UI"/>
          <w:b/>
          <w:lang w:val="es-ES"/>
        </w:rPr>
      </w:pPr>
      <w:r w:rsidRPr="008A2C29">
        <w:rPr>
          <w:rFonts w:ascii="Nirmala UI" w:hAnsi="Nirmala UI" w:cs="Nirmala UI"/>
          <w:b/>
          <w:lang w:val="es-ES"/>
        </w:rPr>
        <w:t>HIGINIO DEL TORO PÉREZ</w:t>
      </w:r>
    </w:p>
    <w:p w:rsidR="000C5511" w:rsidRPr="008A2C29" w:rsidRDefault="000C5511" w:rsidP="009E5CD6">
      <w:pPr>
        <w:jc w:val="center"/>
        <w:rPr>
          <w:rFonts w:ascii="Nirmala UI" w:hAnsi="Nirmala UI" w:cs="Nirmala UI"/>
          <w:b/>
          <w:lang w:val="es-ES"/>
        </w:rPr>
      </w:pPr>
      <w:r w:rsidRPr="008A2C29">
        <w:rPr>
          <w:rFonts w:ascii="Nirmala UI" w:hAnsi="Nirmala UI" w:cs="Nirmala UI"/>
          <w:b/>
          <w:lang w:val="es-ES"/>
        </w:rPr>
        <w:t>REGIDOR DEL H. AYUNTAMIENTO DE ZAPOTLÁN EL GRANDE</w:t>
      </w:r>
    </w:p>
    <w:p w:rsidR="000C5511" w:rsidRPr="008A2C29" w:rsidRDefault="000C5511" w:rsidP="009E5CD6">
      <w:pPr>
        <w:rPr>
          <w:rFonts w:ascii="Nirmala UI" w:hAnsi="Nirmala UI" w:cs="Nirmala UI"/>
        </w:rPr>
      </w:pPr>
    </w:p>
    <w:p w:rsidR="00A964D5" w:rsidRDefault="007320C7" w:rsidP="009E5CD6">
      <w:pPr>
        <w:rPr>
          <w:rFonts w:ascii="Nirmala UI" w:hAnsi="Nirmala UI" w:cs="Nirmala UI"/>
        </w:rPr>
      </w:pPr>
      <w:r w:rsidRPr="007320C7">
        <w:rPr>
          <w:rFonts w:ascii="Nirmala UI" w:hAnsi="Nirmala UI" w:cs="Nirmala UI"/>
          <w:sz w:val="12"/>
        </w:rPr>
        <w:t>HDTP/mapr</w:t>
      </w:r>
      <w:r w:rsidR="00A964D5" w:rsidRPr="008A2C29">
        <w:rPr>
          <w:rFonts w:ascii="Nirmala UI" w:hAnsi="Nirmala UI" w:cs="Nirmala UI"/>
        </w:rPr>
        <w:tab/>
      </w: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p w:rsidR="00B2571F" w:rsidRDefault="00B2571F" w:rsidP="009E5CD6">
      <w:pPr>
        <w:rPr>
          <w:rFonts w:ascii="Nirmala UI" w:hAnsi="Nirmala UI" w:cs="Nirmala UI"/>
        </w:rPr>
      </w:pPr>
    </w:p>
    <w:sectPr w:rsidR="00B2571F" w:rsidSect="005B0788">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871" w:rsidRDefault="00275871" w:rsidP="00A964D5">
      <w:r>
        <w:separator/>
      </w:r>
    </w:p>
  </w:endnote>
  <w:endnote w:type="continuationSeparator" w:id="0">
    <w:p w:rsidR="00275871" w:rsidRDefault="00275871"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MT">
    <w:altName w:val="Times New Roman"/>
    <w:panose1 w:val="00000000000000000000"/>
    <w:charset w:val="A3"/>
    <w:family w:val="auto"/>
    <w:notTrueType/>
    <w:pitch w:val="default"/>
    <w:sig w:usb0="20000001" w:usb1="00000000" w:usb2="00000000" w:usb3="00000000" w:csb0="00000100" w:csb1="00000000"/>
  </w:font>
  <w:font w:name="Ebrima">
    <w:panose1 w:val="02000000000000000000"/>
    <w:charset w:val="00"/>
    <w:family w:val="auto"/>
    <w:pitch w:val="variable"/>
    <w:sig w:usb0="A000005F" w:usb1="02000041" w:usb2="00000800" w:usb3="00000000" w:csb0="00000093"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462269602"/>
      <w:docPartObj>
        <w:docPartGallery w:val="Page Numbers (Bottom of Page)"/>
        <w:docPartUnique/>
      </w:docPartObj>
    </w:sdtPr>
    <w:sdtEndPr/>
    <w:sdtContent>
      <w:sdt>
        <w:sdtPr>
          <w:rPr>
            <w:sz w:val="14"/>
          </w:rPr>
          <w:id w:val="98381352"/>
          <w:docPartObj>
            <w:docPartGallery w:val="Page Numbers (Top of Page)"/>
            <w:docPartUnique/>
          </w:docPartObj>
        </w:sdtPr>
        <w:sdtEndPr/>
        <w:sdtContent>
          <w:p w:rsidR="002520BF" w:rsidRPr="00F63E67" w:rsidRDefault="002520BF">
            <w:pPr>
              <w:pStyle w:val="Piedepgina"/>
              <w:rPr>
                <w:sz w:val="14"/>
              </w:rPr>
            </w:pPr>
            <w:r w:rsidRPr="00F63E67">
              <w:rPr>
                <w:sz w:val="14"/>
                <w:lang w:val="es-ES"/>
              </w:rPr>
              <w:t xml:space="preserve">Página </w:t>
            </w:r>
            <w:r w:rsidRPr="00F63E67">
              <w:rPr>
                <w:b/>
                <w:bCs/>
                <w:sz w:val="14"/>
              </w:rPr>
              <w:fldChar w:fldCharType="begin"/>
            </w:r>
            <w:r w:rsidRPr="00F63E67">
              <w:rPr>
                <w:b/>
                <w:bCs/>
                <w:sz w:val="14"/>
              </w:rPr>
              <w:instrText>PAGE</w:instrText>
            </w:r>
            <w:r w:rsidRPr="00F63E67">
              <w:rPr>
                <w:b/>
                <w:bCs/>
                <w:sz w:val="14"/>
              </w:rPr>
              <w:fldChar w:fldCharType="separate"/>
            </w:r>
            <w:r w:rsidR="003E612F">
              <w:rPr>
                <w:b/>
                <w:bCs/>
                <w:noProof/>
                <w:sz w:val="14"/>
              </w:rPr>
              <w:t>5</w:t>
            </w:r>
            <w:r w:rsidRPr="00F63E67">
              <w:rPr>
                <w:b/>
                <w:bCs/>
                <w:sz w:val="14"/>
              </w:rPr>
              <w:fldChar w:fldCharType="end"/>
            </w:r>
            <w:r w:rsidRPr="00F63E67">
              <w:rPr>
                <w:sz w:val="14"/>
                <w:lang w:val="es-ES"/>
              </w:rPr>
              <w:t xml:space="preserve"> de </w:t>
            </w:r>
            <w:r w:rsidRPr="00F63E67">
              <w:rPr>
                <w:b/>
                <w:bCs/>
                <w:sz w:val="14"/>
              </w:rPr>
              <w:fldChar w:fldCharType="begin"/>
            </w:r>
            <w:r w:rsidRPr="00F63E67">
              <w:rPr>
                <w:b/>
                <w:bCs/>
                <w:sz w:val="14"/>
              </w:rPr>
              <w:instrText>NUMPAGES</w:instrText>
            </w:r>
            <w:r w:rsidRPr="00F63E67">
              <w:rPr>
                <w:b/>
                <w:bCs/>
                <w:sz w:val="14"/>
              </w:rPr>
              <w:fldChar w:fldCharType="separate"/>
            </w:r>
            <w:r w:rsidR="003E612F">
              <w:rPr>
                <w:b/>
                <w:bCs/>
                <w:noProof/>
                <w:sz w:val="14"/>
              </w:rPr>
              <w:t>5</w:t>
            </w:r>
            <w:r w:rsidRPr="00F63E67">
              <w:rPr>
                <w:b/>
                <w:bCs/>
                <w:sz w:val="14"/>
              </w:rPr>
              <w:fldChar w:fldCharType="end"/>
            </w:r>
          </w:p>
        </w:sdtContent>
      </w:sdt>
    </w:sdtContent>
  </w:sdt>
  <w:p w:rsidR="002520BF" w:rsidRDefault="002520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871" w:rsidRDefault="00275871" w:rsidP="00A964D5">
      <w:r>
        <w:separator/>
      </w:r>
    </w:p>
  </w:footnote>
  <w:footnote w:type="continuationSeparator" w:id="0">
    <w:p w:rsidR="00275871" w:rsidRDefault="00275871" w:rsidP="00A9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BF" w:rsidRDefault="00275871">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BF" w:rsidRDefault="00275871">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BF" w:rsidRDefault="00275871">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6E7"/>
    <w:multiLevelType w:val="hybridMultilevel"/>
    <w:tmpl w:val="FDB4A916"/>
    <w:lvl w:ilvl="0" w:tplc="27B00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68F48A0"/>
    <w:multiLevelType w:val="hybridMultilevel"/>
    <w:tmpl w:val="25EE66C8"/>
    <w:lvl w:ilvl="0" w:tplc="BFB63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C5E6ECB"/>
    <w:multiLevelType w:val="hybridMultilevel"/>
    <w:tmpl w:val="68029FFA"/>
    <w:lvl w:ilvl="0" w:tplc="0A0E3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048D9"/>
    <w:rsid w:val="0002378D"/>
    <w:rsid w:val="000C5511"/>
    <w:rsid w:val="001B2EF5"/>
    <w:rsid w:val="002520BF"/>
    <w:rsid w:val="0027211F"/>
    <w:rsid w:val="00275871"/>
    <w:rsid w:val="00313068"/>
    <w:rsid w:val="003E612F"/>
    <w:rsid w:val="005025A3"/>
    <w:rsid w:val="00516399"/>
    <w:rsid w:val="00517844"/>
    <w:rsid w:val="00553E81"/>
    <w:rsid w:val="005A147D"/>
    <w:rsid w:val="005B0788"/>
    <w:rsid w:val="0061666E"/>
    <w:rsid w:val="00656571"/>
    <w:rsid w:val="00661887"/>
    <w:rsid w:val="0066711C"/>
    <w:rsid w:val="006B4D62"/>
    <w:rsid w:val="006C40DA"/>
    <w:rsid w:val="006D1F0F"/>
    <w:rsid w:val="00723B54"/>
    <w:rsid w:val="007320C7"/>
    <w:rsid w:val="0077436A"/>
    <w:rsid w:val="0077455B"/>
    <w:rsid w:val="00780645"/>
    <w:rsid w:val="007E2CD9"/>
    <w:rsid w:val="007F0E4C"/>
    <w:rsid w:val="00800784"/>
    <w:rsid w:val="00805F25"/>
    <w:rsid w:val="008A2C29"/>
    <w:rsid w:val="008E30A1"/>
    <w:rsid w:val="00923192"/>
    <w:rsid w:val="00952457"/>
    <w:rsid w:val="0095601A"/>
    <w:rsid w:val="009E5CD6"/>
    <w:rsid w:val="00A4059A"/>
    <w:rsid w:val="00A964D5"/>
    <w:rsid w:val="00B2571F"/>
    <w:rsid w:val="00B40A97"/>
    <w:rsid w:val="00BC6EF8"/>
    <w:rsid w:val="00C93905"/>
    <w:rsid w:val="00CC2E22"/>
    <w:rsid w:val="00D35E84"/>
    <w:rsid w:val="00D82993"/>
    <w:rsid w:val="00F63E67"/>
    <w:rsid w:val="00F903FF"/>
    <w:rsid w:val="00FD4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78204">
      <w:bodyDiv w:val="1"/>
      <w:marLeft w:val="0"/>
      <w:marRight w:val="0"/>
      <w:marTop w:val="0"/>
      <w:marBottom w:val="0"/>
      <w:divBdr>
        <w:top w:val="none" w:sz="0" w:space="0" w:color="auto"/>
        <w:left w:val="none" w:sz="0" w:space="0" w:color="auto"/>
        <w:bottom w:val="none" w:sz="0" w:space="0" w:color="auto"/>
        <w:right w:val="none" w:sz="0" w:space="0" w:color="auto"/>
      </w:divBdr>
    </w:div>
    <w:div w:id="1657150436">
      <w:bodyDiv w:val="1"/>
      <w:marLeft w:val="0"/>
      <w:marRight w:val="0"/>
      <w:marTop w:val="0"/>
      <w:marBottom w:val="0"/>
      <w:divBdr>
        <w:top w:val="none" w:sz="0" w:space="0" w:color="auto"/>
        <w:left w:val="none" w:sz="0" w:space="0" w:color="auto"/>
        <w:bottom w:val="none" w:sz="0" w:space="0" w:color="auto"/>
        <w:right w:val="none" w:sz="0" w:space="0" w:color="auto"/>
      </w:divBdr>
    </w:div>
    <w:div w:id="2129542995">
      <w:bodyDiv w:val="1"/>
      <w:marLeft w:val="0"/>
      <w:marRight w:val="0"/>
      <w:marTop w:val="0"/>
      <w:marBottom w:val="0"/>
      <w:divBdr>
        <w:top w:val="none" w:sz="0" w:space="0" w:color="auto"/>
        <w:left w:val="none" w:sz="0" w:space="0" w:color="auto"/>
        <w:bottom w:val="none" w:sz="0" w:space="0" w:color="auto"/>
        <w:right w:val="none" w:sz="0" w:space="0" w:color="auto"/>
      </w:divBdr>
      <w:divsChild>
        <w:div w:id="966205417">
          <w:marLeft w:val="0"/>
          <w:marRight w:val="0"/>
          <w:marTop w:val="0"/>
          <w:marBottom w:val="0"/>
          <w:divBdr>
            <w:top w:val="none" w:sz="0" w:space="0" w:color="auto"/>
            <w:left w:val="none" w:sz="0" w:space="0" w:color="auto"/>
            <w:bottom w:val="none" w:sz="0" w:space="0" w:color="auto"/>
            <w:right w:val="none" w:sz="0" w:space="0" w:color="auto"/>
          </w:divBdr>
          <w:divsChild>
            <w:div w:id="1122656214">
              <w:marLeft w:val="0"/>
              <w:marRight w:val="0"/>
              <w:marTop w:val="0"/>
              <w:marBottom w:val="0"/>
              <w:divBdr>
                <w:top w:val="none" w:sz="0" w:space="0" w:color="auto"/>
                <w:left w:val="none" w:sz="0" w:space="0" w:color="auto"/>
                <w:bottom w:val="none" w:sz="0" w:space="0" w:color="auto"/>
                <w:right w:val="none" w:sz="0" w:space="0" w:color="auto"/>
              </w:divBdr>
              <w:divsChild>
                <w:div w:id="1157914889">
                  <w:marLeft w:val="0"/>
                  <w:marRight w:val="0"/>
                  <w:marTop w:val="0"/>
                  <w:marBottom w:val="0"/>
                  <w:divBdr>
                    <w:top w:val="none" w:sz="0" w:space="0" w:color="auto"/>
                    <w:left w:val="none" w:sz="0" w:space="0" w:color="auto"/>
                    <w:bottom w:val="none" w:sz="0" w:space="0" w:color="auto"/>
                    <w:right w:val="none" w:sz="0" w:space="0" w:color="auto"/>
                  </w:divBdr>
                  <w:divsChild>
                    <w:div w:id="9937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7107">
          <w:marLeft w:val="0"/>
          <w:marRight w:val="0"/>
          <w:marTop w:val="0"/>
          <w:marBottom w:val="0"/>
          <w:divBdr>
            <w:top w:val="none" w:sz="0" w:space="0" w:color="auto"/>
            <w:left w:val="none" w:sz="0" w:space="0" w:color="auto"/>
            <w:bottom w:val="none" w:sz="0" w:space="0" w:color="auto"/>
            <w:right w:val="none" w:sz="0" w:space="0" w:color="auto"/>
          </w:divBdr>
          <w:divsChild>
            <w:div w:id="205487515">
              <w:marLeft w:val="0"/>
              <w:marRight w:val="0"/>
              <w:marTop w:val="0"/>
              <w:marBottom w:val="0"/>
              <w:divBdr>
                <w:top w:val="none" w:sz="0" w:space="0" w:color="auto"/>
                <w:left w:val="none" w:sz="0" w:space="0" w:color="auto"/>
                <w:bottom w:val="none" w:sz="0" w:space="0" w:color="auto"/>
                <w:right w:val="none" w:sz="0" w:space="0" w:color="auto"/>
              </w:divBdr>
              <w:divsChild>
                <w:div w:id="763577225">
                  <w:marLeft w:val="0"/>
                  <w:marRight w:val="0"/>
                  <w:marTop w:val="0"/>
                  <w:marBottom w:val="0"/>
                  <w:divBdr>
                    <w:top w:val="none" w:sz="0" w:space="0" w:color="auto"/>
                    <w:left w:val="none" w:sz="0" w:space="0" w:color="auto"/>
                    <w:bottom w:val="none" w:sz="0" w:space="0" w:color="auto"/>
                    <w:right w:val="none" w:sz="0" w:space="0" w:color="auto"/>
                  </w:divBdr>
                  <w:divsChild>
                    <w:div w:id="9473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A4CD3-ABA7-4C33-BFBB-B75A2479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Mariana Preciado</cp:lastModifiedBy>
  <cp:revision>2</cp:revision>
  <cp:lastPrinted>2024-11-21T18:56:00Z</cp:lastPrinted>
  <dcterms:created xsi:type="dcterms:W3CDTF">2025-07-29T16:32:00Z</dcterms:created>
  <dcterms:modified xsi:type="dcterms:W3CDTF">2025-07-29T16:32:00Z</dcterms:modified>
</cp:coreProperties>
</file>