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714" w:type="dxa"/>
        <w:tblInd w:w="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4"/>
      </w:tblGrid>
      <w:tr w:rsidR="00BD0DBB" w:rsidRPr="0081617D" w:rsidTr="00323B81">
        <w:tc>
          <w:tcPr>
            <w:tcW w:w="3714" w:type="dxa"/>
          </w:tcPr>
          <w:p w:rsidR="00BD0DBB" w:rsidRPr="0081617D" w:rsidRDefault="00BD0DBB" w:rsidP="00323B8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617D">
              <w:rPr>
                <w:rFonts w:ascii="Arial" w:eastAsia="Times New Roman" w:hAnsi="Arial" w:cs="Arial"/>
                <w:b/>
                <w:sz w:val="20"/>
                <w:szCs w:val="20"/>
              </w:rPr>
              <w:t>Dependencia: Sala de Regidores.</w:t>
            </w:r>
          </w:p>
        </w:tc>
      </w:tr>
      <w:tr w:rsidR="00BD0DBB" w:rsidRPr="0081617D" w:rsidTr="00323B81">
        <w:tc>
          <w:tcPr>
            <w:tcW w:w="3714" w:type="dxa"/>
          </w:tcPr>
          <w:p w:rsidR="00BD0DBB" w:rsidRPr="0081617D" w:rsidRDefault="00BD0DBB" w:rsidP="00090F5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1617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Oficio Número: </w:t>
            </w:r>
            <w:r w:rsidR="008A74BC">
              <w:rPr>
                <w:rFonts w:ascii="Arial" w:eastAsia="Times New Roman" w:hAnsi="Arial" w:cs="Arial"/>
                <w:sz w:val="20"/>
                <w:szCs w:val="20"/>
              </w:rPr>
              <w:t>987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/2024</w:t>
            </w:r>
            <w:r w:rsidRPr="0081617D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BD0DBB" w:rsidRPr="0081617D" w:rsidTr="00323B81">
        <w:tc>
          <w:tcPr>
            <w:tcW w:w="3714" w:type="dxa"/>
          </w:tcPr>
          <w:p w:rsidR="00BD0DBB" w:rsidRPr="0081617D" w:rsidRDefault="00BD0DBB" w:rsidP="00323B8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1617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Asunto: </w:t>
            </w:r>
            <w:r w:rsidRPr="0081617D">
              <w:rPr>
                <w:rFonts w:ascii="Arial" w:eastAsia="Times New Roman" w:hAnsi="Arial" w:cs="Arial"/>
                <w:sz w:val="20"/>
                <w:szCs w:val="20"/>
              </w:rPr>
              <w:t>Convocatoria</w:t>
            </w:r>
            <w:r w:rsidRPr="0081617D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</w:p>
        </w:tc>
      </w:tr>
    </w:tbl>
    <w:p w:rsidR="00BD0DBB" w:rsidRDefault="00BD0DBB" w:rsidP="00BD0DBB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BD0DBB" w:rsidRDefault="00BD0DBB" w:rsidP="00BD0DBB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BD0DBB" w:rsidRDefault="00BD0DBB" w:rsidP="00BD0DBB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BD0DBB" w:rsidRPr="0081617D" w:rsidRDefault="00BD0DBB" w:rsidP="00BD0DBB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 xml:space="preserve">C. </w:t>
      </w:r>
      <w:r>
        <w:rPr>
          <w:rFonts w:ascii="Arial" w:hAnsi="Arial" w:cs="Arial"/>
          <w:b/>
          <w:sz w:val="20"/>
          <w:szCs w:val="20"/>
        </w:rPr>
        <w:t>SARA MORENO RAMÍREZ</w:t>
      </w:r>
      <w:r w:rsidRPr="0081617D">
        <w:rPr>
          <w:rFonts w:ascii="Arial" w:hAnsi="Arial" w:cs="Arial"/>
          <w:b/>
          <w:sz w:val="20"/>
          <w:szCs w:val="20"/>
        </w:rPr>
        <w:t xml:space="preserve">. </w:t>
      </w:r>
    </w:p>
    <w:p w:rsidR="00BD0DBB" w:rsidRDefault="00BD0DBB" w:rsidP="00BD0DBB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C. DIANA LAURA ORTEGA PALAFOX. </w:t>
      </w:r>
    </w:p>
    <w:p w:rsidR="00BD0DBB" w:rsidRDefault="00BD0DBB" w:rsidP="00BD0DBB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REGIDORAS INTEGRANTES DE LA COMISIÓN EDILICIA </w:t>
      </w:r>
    </w:p>
    <w:p w:rsidR="00BD0DBB" w:rsidRDefault="00BD0DBB" w:rsidP="00BD0DBB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PERMANENTE DE ESPECTACULOS PÚBLICOS E </w:t>
      </w:r>
    </w:p>
    <w:p w:rsidR="00BD0DBB" w:rsidRDefault="00BD0DBB" w:rsidP="00BD0DBB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INSPECCIÓN Y VIGILANCIA. </w:t>
      </w:r>
    </w:p>
    <w:p w:rsidR="00BD0DBB" w:rsidRPr="0081617D" w:rsidRDefault="00BD0DBB" w:rsidP="00BD0DBB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DEL HONORABLE</w:t>
      </w:r>
      <w:r w:rsidRPr="0081617D">
        <w:rPr>
          <w:rFonts w:ascii="Arial" w:hAnsi="Arial" w:cs="Arial"/>
          <w:b/>
          <w:sz w:val="20"/>
          <w:szCs w:val="20"/>
        </w:rPr>
        <w:t xml:space="preserve"> AYUNTAMIENTO CONSTITUCIONAL DE </w:t>
      </w:r>
    </w:p>
    <w:p w:rsidR="00BD0DBB" w:rsidRPr="0081617D" w:rsidRDefault="00BD0DBB" w:rsidP="00BD0DBB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 xml:space="preserve">ZAPOTLÁN EL GRANDE, JALISCO. </w:t>
      </w:r>
    </w:p>
    <w:p w:rsidR="00BD0DBB" w:rsidRPr="0081617D" w:rsidRDefault="00BD0DBB" w:rsidP="00BD0DBB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 xml:space="preserve">P R E S E N T E </w:t>
      </w:r>
    </w:p>
    <w:p w:rsidR="00BD0DBB" w:rsidRDefault="00BD0DBB" w:rsidP="00BD0DBB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BD0DBB" w:rsidRDefault="00BD0DBB" w:rsidP="00BD0DBB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BD0DBB" w:rsidRPr="00BA16F1" w:rsidRDefault="00BD0DBB" w:rsidP="00BD0DB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A16F1">
        <w:rPr>
          <w:rFonts w:ascii="Arial" w:hAnsi="Arial" w:cs="Arial"/>
          <w:sz w:val="22"/>
          <w:szCs w:val="22"/>
        </w:rPr>
        <w:t xml:space="preserve">Anteponiendo un cordial saludo, me dirijo a sus finas atenciones para convocarlas a la </w:t>
      </w:r>
      <w:r w:rsidR="008A74BC">
        <w:rPr>
          <w:rFonts w:ascii="Arial" w:hAnsi="Arial" w:cs="Arial"/>
          <w:sz w:val="22"/>
          <w:szCs w:val="22"/>
        </w:rPr>
        <w:t>Vigésima</w:t>
      </w:r>
      <w:r w:rsidRPr="00BA16F1">
        <w:rPr>
          <w:rFonts w:ascii="Arial" w:hAnsi="Arial" w:cs="Arial"/>
          <w:sz w:val="22"/>
          <w:szCs w:val="22"/>
        </w:rPr>
        <w:t xml:space="preserve"> Sesión Ordinaria de la Comisión Edilicia Permanente de Espectáculos Públicos e Inspección y Vigilancia, de conformidad con lo establecido en el artículo 115 Constitucional, artículos 27 y 29 fracción II de la Ley de Gobierno y la Administración Pública Municipal del Estado de Jalisco, 37, 38 fracciones VIII, 40, 44, 47, 58 y demás relativos y aplicables del Reglamento Interior del Ayuntamiento de Zapotlán el Grande. </w:t>
      </w:r>
    </w:p>
    <w:p w:rsidR="00BD0DBB" w:rsidRPr="00BA16F1" w:rsidRDefault="00BD0DBB" w:rsidP="00BD0DBB">
      <w:pPr>
        <w:jc w:val="both"/>
        <w:rPr>
          <w:rFonts w:ascii="Arial" w:hAnsi="Arial" w:cs="Arial"/>
          <w:sz w:val="22"/>
          <w:szCs w:val="22"/>
        </w:rPr>
      </w:pPr>
    </w:p>
    <w:p w:rsidR="00BD0DBB" w:rsidRPr="00BA16F1" w:rsidRDefault="00BD0DBB" w:rsidP="00BD0DBB">
      <w:pPr>
        <w:jc w:val="both"/>
        <w:rPr>
          <w:rFonts w:ascii="Arial" w:hAnsi="Arial" w:cs="Arial"/>
          <w:sz w:val="22"/>
          <w:szCs w:val="22"/>
        </w:rPr>
      </w:pPr>
    </w:p>
    <w:p w:rsidR="00BD0DBB" w:rsidRPr="00BA16F1" w:rsidRDefault="00BD0DBB" w:rsidP="00BD0DBB">
      <w:pPr>
        <w:jc w:val="both"/>
        <w:rPr>
          <w:rFonts w:ascii="Arial" w:hAnsi="Arial" w:cs="Arial"/>
          <w:sz w:val="22"/>
          <w:szCs w:val="22"/>
        </w:rPr>
      </w:pPr>
      <w:r w:rsidRPr="00BA16F1">
        <w:rPr>
          <w:rFonts w:ascii="Arial" w:hAnsi="Arial" w:cs="Arial"/>
          <w:sz w:val="22"/>
          <w:szCs w:val="22"/>
        </w:rPr>
        <w:tab/>
      </w:r>
      <w:r w:rsidRPr="00BA16F1">
        <w:rPr>
          <w:rFonts w:ascii="Arial" w:hAnsi="Arial" w:cs="Arial"/>
          <w:b/>
          <w:sz w:val="22"/>
          <w:szCs w:val="22"/>
          <w:u w:val="single"/>
        </w:rPr>
        <w:t>Sesión que se llevará a cabo el próximo</w:t>
      </w:r>
      <w:r w:rsidR="00541096">
        <w:rPr>
          <w:rFonts w:ascii="Arial" w:hAnsi="Arial" w:cs="Arial"/>
          <w:b/>
          <w:sz w:val="22"/>
          <w:szCs w:val="22"/>
          <w:u w:val="single"/>
        </w:rPr>
        <w:t xml:space="preserve"> miércoles </w:t>
      </w:r>
      <w:bookmarkStart w:id="0" w:name="_GoBack"/>
      <w:bookmarkEnd w:id="0"/>
      <w:r w:rsidR="008A74BC">
        <w:rPr>
          <w:rFonts w:ascii="Arial" w:hAnsi="Arial" w:cs="Arial"/>
          <w:b/>
          <w:sz w:val="22"/>
          <w:szCs w:val="22"/>
          <w:u w:val="single"/>
        </w:rPr>
        <w:t>28</w:t>
      </w:r>
      <w:r>
        <w:rPr>
          <w:rFonts w:ascii="Arial" w:hAnsi="Arial" w:cs="Arial"/>
          <w:b/>
          <w:sz w:val="22"/>
          <w:szCs w:val="22"/>
          <w:u w:val="single"/>
        </w:rPr>
        <w:t xml:space="preserve"> de Agosto </w:t>
      </w:r>
      <w:r w:rsidRPr="00BA16F1">
        <w:rPr>
          <w:rFonts w:ascii="Arial" w:hAnsi="Arial" w:cs="Arial"/>
          <w:b/>
          <w:sz w:val="22"/>
          <w:szCs w:val="22"/>
          <w:u w:val="single"/>
        </w:rPr>
        <w:t>de 202</w:t>
      </w:r>
      <w:r>
        <w:rPr>
          <w:rFonts w:ascii="Arial" w:hAnsi="Arial" w:cs="Arial"/>
          <w:b/>
          <w:sz w:val="22"/>
          <w:szCs w:val="22"/>
          <w:u w:val="single"/>
        </w:rPr>
        <w:t>4</w:t>
      </w:r>
      <w:r w:rsidRPr="00BA16F1">
        <w:rPr>
          <w:rFonts w:ascii="Arial" w:hAnsi="Arial" w:cs="Arial"/>
          <w:b/>
          <w:sz w:val="22"/>
          <w:szCs w:val="22"/>
          <w:u w:val="single"/>
        </w:rPr>
        <w:t xml:space="preserve">, a las </w:t>
      </w:r>
      <w:r>
        <w:rPr>
          <w:rFonts w:ascii="Arial" w:hAnsi="Arial" w:cs="Arial"/>
          <w:b/>
          <w:sz w:val="22"/>
          <w:szCs w:val="22"/>
          <w:u w:val="single"/>
        </w:rPr>
        <w:t>9</w:t>
      </w:r>
      <w:r w:rsidRPr="00BA16F1">
        <w:rPr>
          <w:rFonts w:ascii="Arial" w:hAnsi="Arial" w:cs="Arial"/>
          <w:b/>
          <w:sz w:val="22"/>
          <w:szCs w:val="22"/>
          <w:u w:val="single"/>
        </w:rPr>
        <w:t>:</w:t>
      </w:r>
      <w:r>
        <w:rPr>
          <w:rFonts w:ascii="Arial" w:hAnsi="Arial" w:cs="Arial"/>
          <w:b/>
          <w:sz w:val="22"/>
          <w:szCs w:val="22"/>
          <w:u w:val="single"/>
        </w:rPr>
        <w:t>30 nueve horas con treinta minutos e</w:t>
      </w:r>
      <w:r w:rsidRPr="00BA16F1">
        <w:rPr>
          <w:rFonts w:ascii="Arial" w:hAnsi="Arial" w:cs="Arial"/>
          <w:b/>
          <w:sz w:val="22"/>
          <w:szCs w:val="22"/>
          <w:u w:val="single"/>
        </w:rPr>
        <w:t>n</w:t>
      </w:r>
      <w:r>
        <w:rPr>
          <w:rFonts w:ascii="Arial" w:hAnsi="Arial" w:cs="Arial"/>
          <w:b/>
          <w:sz w:val="22"/>
          <w:szCs w:val="22"/>
          <w:u w:val="single"/>
        </w:rPr>
        <w:t xml:space="preserve"> la Sala Rocío Elizondo Díaz, interior de la Sala de Regidores</w:t>
      </w:r>
      <w:r w:rsidRPr="00BA16F1">
        <w:rPr>
          <w:rFonts w:ascii="Arial" w:hAnsi="Arial" w:cs="Arial"/>
          <w:b/>
          <w:sz w:val="22"/>
          <w:szCs w:val="22"/>
          <w:u w:val="single"/>
        </w:rPr>
        <w:t>,</w:t>
      </w:r>
      <w:r w:rsidRPr="00BA16F1">
        <w:rPr>
          <w:rFonts w:ascii="Arial" w:hAnsi="Arial" w:cs="Arial"/>
          <w:sz w:val="22"/>
          <w:szCs w:val="22"/>
        </w:rPr>
        <w:t xml:space="preserve"> la que se desahogará conforme al siguiente:</w:t>
      </w:r>
    </w:p>
    <w:p w:rsidR="00BD0DBB" w:rsidRPr="00BA16F1" w:rsidRDefault="00BD0DBB" w:rsidP="00BD0DBB">
      <w:pPr>
        <w:jc w:val="both"/>
        <w:rPr>
          <w:rFonts w:ascii="Arial" w:hAnsi="Arial" w:cs="Arial"/>
          <w:sz w:val="22"/>
          <w:szCs w:val="22"/>
        </w:rPr>
      </w:pPr>
    </w:p>
    <w:p w:rsidR="00BD0DBB" w:rsidRPr="00BA16F1" w:rsidRDefault="00BD0DBB" w:rsidP="00BD0DBB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D0DBB" w:rsidRPr="00BA16F1" w:rsidTr="00323B81">
        <w:tc>
          <w:tcPr>
            <w:tcW w:w="9629" w:type="dxa"/>
          </w:tcPr>
          <w:p w:rsidR="00BD0DBB" w:rsidRPr="00BA16F1" w:rsidRDefault="00BD0DBB" w:rsidP="00323B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16F1">
              <w:rPr>
                <w:rFonts w:ascii="Arial" w:hAnsi="Arial" w:cs="Arial"/>
                <w:b/>
                <w:sz w:val="22"/>
                <w:szCs w:val="22"/>
              </w:rPr>
              <w:t>ORDEN DEL DÍA.</w:t>
            </w:r>
          </w:p>
        </w:tc>
      </w:tr>
    </w:tbl>
    <w:p w:rsidR="00BD0DBB" w:rsidRPr="00BA16F1" w:rsidRDefault="00BD0DBB" w:rsidP="00BD0DBB">
      <w:pPr>
        <w:jc w:val="both"/>
        <w:rPr>
          <w:rFonts w:ascii="Arial" w:hAnsi="Arial" w:cs="Arial"/>
          <w:sz w:val="22"/>
          <w:szCs w:val="22"/>
        </w:rPr>
      </w:pPr>
    </w:p>
    <w:p w:rsidR="00BD0DBB" w:rsidRPr="00BA16F1" w:rsidRDefault="00BD0DBB" w:rsidP="00BD0DBB">
      <w:pPr>
        <w:jc w:val="both"/>
        <w:rPr>
          <w:rFonts w:ascii="Arial" w:hAnsi="Arial" w:cs="Arial"/>
          <w:sz w:val="22"/>
          <w:szCs w:val="22"/>
        </w:rPr>
      </w:pPr>
    </w:p>
    <w:p w:rsidR="00BD0DBB" w:rsidRPr="00BA16F1" w:rsidRDefault="00BD0DBB" w:rsidP="00BD0DBB">
      <w:pPr>
        <w:jc w:val="both"/>
        <w:rPr>
          <w:rFonts w:ascii="Arial" w:hAnsi="Arial" w:cs="Arial"/>
          <w:sz w:val="22"/>
          <w:szCs w:val="22"/>
        </w:rPr>
      </w:pPr>
      <w:r w:rsidRPr="00BA16F1">
        <w:rPr>
          <w:rFonts w:ascii="Arial" w:hAnsi="Arial" w:cs="Arial"/>
          <w:b/>
          <w:sz w:val="22"/>
          <w:szCs w:val="22"/>
        </w:rPr>
        <w:t xml:space="preserve">1.- </w:t>
      </w:r>
      <w:r w:rsidRPr="00BA16F1">
        <w:rPr>
          <w:rFonts w:ascii="Arial" w:hAnsi="Arial" w:cs="Arial"/>
          <w:sz w:val="22"/>
          <w:szCs w:val="22"/>
        </w:rPr>
        <w:t xml:space="preserve">Lista de asistencia, verificación y declaración de Quorum Legal y en su caso aprobación del orden del día. </w:t>
      </w:r>
    </w:p>
    <w:p w:rsidR="00BD0DBB" w:rsidRPr="00BA16F1" w:rsidRDefault="00BD0DBB" w:rsidP="00BD0DBB">
      <w:pPr>
        <w:jc w:val="both"/>
        <w:rPr>
          <w:rFonts w:ascii="Arial" w:hAnsi="Arial" w:cs="Arial"/>
          <w:sz w:val="22"/>
          <w:szCs w:val="22"/>
        </w:rPr>
      </w:pPr>
    </w:p>
    <w:p w:rsidR="00090F56" w:rsidRPr="00090F56" w:rsidRDefault="00BD0DBB" w:rsidP="008A74BC">
      <w:pPr>
        <w:jc w:val="both"/>
        <w:rPr>
          <w:rFonts w:ascii="Arial" w:hAnsi="Arial" w:cs="Arial"/>
          <w:sz w:val="22"/>
          <w:szCs w:val="22"/>
        </w:rPr>
      </w:pPr>
      <w:r w:rsidRPr="00BA16F1">
        <w:rPr>
          <w:rFonts w:ascii="Arial" w:hAnsi="Arial" w:cs="Arial"/>
          <w:b/>
          <w:sz w:val="22"/>
          <w:szCs w:val="22"/>
        </w:rPr>
        <w:t>2.</w:t>
      </w:r>
      <w:r w:rsidRPr="00BA16F1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Estudio, análisis, discusión y en su caso aprobación y dictaminación respecto de la solicitud presentada por </w:t>
      </w:r>
      <w:r w:rsidR="008A74BC">
        <w:rPr>
          <w:rFonts w:ascii="Arial" w:hAnsi="Arial" w:cs="Arial"/>
          <w:sz w:val="22"/>
          <w:szCs w:val="22"/>
        </w:rPr>
        <w:t xml:space="preserve">el C. PEDRO ROLÓN BARON, respecto de la licencia municipal de funcionamiento número B-011851 con giro SALÓN PARA FIESTAS MEDIANO MENOR A 200 PERSONAS denominado “SALÓN DE EVENTOS ELIZABETH” con domicilio en General Miguel Contreras Medellín No. 336 en la Colonia Centro de esta Ciudad, con horario de funcionamiento de domingo a sábado de las 11:00 a las 23:00 horas, donde solicita </w:t>
      </w:r>
      <w:r w:rsidR="008A74BC" w:rsidRPr="008A74BC">
        <w:rPr>
          <w:rFonts w:ascii="Arial" w:hAnsi="Arial" w:cs="Arial"/>
          <w:b/>
          <w:sz w:val="22"/>
          <w:szCs w:val="22"/>
        </w:rPr>
        <w:t>AMPLIACIÓN DE HORARIO HASTA LAS 04:00 HORAS DEL DÍA SIGUIENTE</w:t>
      </w:r>
      <w:r w:rsidR="008A74BC">
        <w:rPr>
          <w:rFonts w:ascii="Arial" w:hAnsi="Arial" w:cs="Arial"/>
          <w:sz w:val="22"/>
          <w:szCs w:val="22"/>
        </w:rPr>
        <w:t xml:space="preserve">. Lo anterior de conformidad con los dispuesto en el artículo 41, inciso III, apartado 2.  </w:t>
      </w:r>
    </w:p>
    <w:p w:rsidR="00BD0DBB" w:rsidRDefault="00BD0DBB" w:rsidP="00BD0DBB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:rsidR="00BD0DBB" w:rsidRDefault="008A74BC" w:rsidP="00BD0DBB">
      <w:pPr>
        <w:pStyle w:val="Sinespaciad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BD0DBB">
        <w:rPr>
          <w:rFonts w:ascii="Arial" w:hAnsi="Arial" w:cs="Arial"/>
          <w:b/>
          <w:sz w:val="22"/>
          <w:szCs w:val="22"/>
        </w:rPr>
        <w:t xml:space="preserve">.- </w:t>
      </w:r>
      <w:r w:rsidR="00BD0DBB">
        <w:rPr>
          <w:rFonts w:ascii="Arial" w:hAnsi="Arial" w:cs="Arial"/>
          <w:sz w:val="22"/>
          <w:szCs w:val="22"/>
        </w:rPr>
        <w:t xml:space="preserve">Asuntos Varios. </w:t>
      </w:r>
    </w:p>
    <w:p w:rsidR="00BD0DBB" w:rsidRDefault="00BD0DBB" w:rsidP="00BD0DBB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:rsidR="00BD0DBB" w:rsidRPr="00ED21F2" w:rsidRDefault="008A74BC" w:rsidP="00BD0DBB">
      <w:pPr>
        <w:pStyle w:val="Sinespaciad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BD0DBB">
        <w:rPr>
          <w:rFonts w:ascii="Arial" w:hAnsi="Arial" w:cs="Arial"/>
          <w:b/>
          <w:sz w:val="22"/>
          <w:szCs w:val="22"/>
        </w:rPr>
        <w:t xml:space="preserve">.- </w:t>
      </w:r>
      <w:r w:rsidR="00BD0DBB">
        <w:rPr>
          <w:rFonts w:ascii="Arial" w:hAnsi="Arial" w:cs="Arial"/>
          <w:sz w:val="22"/>
          <w:szCs w:val="22"/>
        </w:rPr>
        <w:t xml:space="preserve">Clausura. </w:t>
      </w:r>
    </w:p>
    <w:p w:rsidR="00BD0DBB" w:rsidRPr="00632969" w:rsidRDefault="00BD0DBB" w:rsidP="00BD0DBB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BD0DBB" w:rsidRDefault="00BD0DBB" w:rsidP="00BD0DBB">
      <w:pPr>
        <w:jc w:val="center"/>
        <w:rPr>
          <w:rFonts w:ascii="Arial" w:hAnsi="Arial" w:cs="Arial"/>
        </w:rPr>
      </w:pPr>
    </w:p>
    <w:p w:rsidR="00BD0DBB" w:rsidRPr="00A731B6" w:rsidRDefault="00BD0DBB" w:rsidP="00BD0DBB">
      <w:pPr>
        <w:jc w:val="center"/>
        <w:rPr>
          <w:rFonts w:ascii="Arial" w:hAnsi="Arial" w:cs="Arial"/>
        </w:rPr>
      </w:pPr>
    </w:p>
    <w:p w:rsidR="00BD0DBB" w:rsidRDefault="00BD0DBB" w:rsidP="00BD0DBB">
      <w:pPr>
        <w:jc w:val="center"/>
        <w:rPr>
          <w:rFonts w:ascii="Arial" w:hAnsi="Arial" w:cs="Arial"/>
        </w:rPr>
      </w:pPr>
      <w:r w:rsidRPr="00CA4EF2">
        <w:rPr>
          <w:rFonts w:ascii="Arial" w:hAnsi="Arial" w:cs="Arial"/>
        </w:rPr>
        <w:t>A T E N T A M E N T E</w:t>
      </w:r>
    </w:p>
    <w:p w:rsidR="00BD0DBB" w:rsidRPr="00881413" w:rsidRDefault="00BD0DBB" w:rsidP="00BD0DBB">
      <w:pPr>
        <w:pStyle w:val="Sinespaciado"/>
        <w:jc w:val="center"/>
        <w:rPr>
          <w:rFonts w:ascii="Arial" w:hAnsi="Arial" w:cs="Arial"/>
          <w:sz w:val="22"/>
          <w:szCs w:val="22"/>
        </w:rPr>
      </w:pPr>
      <w:r w:rsidRPr="00881413">
        <w:rPr>
          <w:rFonts w:ascii="Arial" w:hAnsi="Arial" w:cs="Arial"/>
          <w:sz w:val="22"/>
          <w:szCs w:val="22"/>
        </w:rPr>
        <w:t>“2024, A</w:t>
      </w:r>
      <w:r>
        <w:rPr>
          <w:rFonts w:ascii="Arial" w:hAnsi="Arial" w:cs="Arial"/>
          <w:sz w:val="22"/>
          <w:szCs w:val="22"/>
        </w:rPr>
        <w:t>ño</w:t>
      </w:r>
      <w:r w:rsidRPr="008814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</w:t>
      </w:r>
      <w:r w:rsidRPr="00881413">
        <w:rPr>
          <w:rFonts w:ascii="Arial" w:hAnsi="Arial" w:cs="Arial"/>
          <w:sz w:val="22"/>
          <w:szCs w:val="22"/>
        </w:rPr>
        <w:t xml:space="preserve"> 85 A</w:t>
      </w:r>
      <w:r>
        <w:rPr>
          <w:rFonts w:ascii="Arial" w:hAnsi="Arial" w:cs="Arial"/>
          <w:sz w:val="22"/>
          <w:szCs w:val="22"/>
        </w:rPr>
        <w:t xml:space="preserve">niversario de la </w:t>
      </w:r>
      <w:r w:rsidRPr="00881413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scuela </w:t>
      </w:r>
      <w:r w:rsidRPr="00881413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ecundaria </w:t>
      </w:r>
      <w:r w:rsidRPr="00881413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ederal Benito Juárez</w:t>
      </w:r>
      <w:r w:rsidRPr="00881413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>.</w:t>
      </w:r>
    </w:p>
    <w:p w:rsidR="00BD0DBB" w:rsidRDefault="00BD0DBB" w:rsidP="00BD0DBB">
      <w:pPr>
        <w:pStyle w:val="Sinespaciado"/>
        <w:jc w:val="center"/>
        <w:rPr>
          <w:rFonts w:ascii="Arial" w:hAnsi="Arial" w:cs="Arial"/>
          <w:sz w:val="22"/>
          <w:szCs w:val="22"/>
        </w:rPr>
      </w:pPr>
      <w:r w:rsidRPr="00881413">
        <w:rPr>
          <w:rFonts w:ascii="Arial" w:hAnsi="Arial" w:cs="Arial"/>
          <w:sz w:val="22"/>
          <w:szCs w:val="22"/>
        </w:rPr>
        <w:t>“2024, B</w:t>
      </w:r>
      <w:r>
        <w:rPr>
          <w:rFonts w:ascii="Arial" w:hAnsi="Arial" w:cs="Arial"/>
          <w:sz w:val="22"/>
          <w:szCs w:val="22"/>
        </w:rPr>
        <w:t>icentenario en que se</w:t>
      </w:r>
      <w:r w:rsidRPr="008814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otorga</w:t>
      </w:r>
      <w:r w:rsidRPr="008814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el título de</w:t>
      </w:r>
      <w:r w:rsidRPr="00881413">
        <w:rPr>
          <w:rFonts w:ascii="Arial" w:hAnsi="Arial" w:cs="Arial"/>
          <w:sz w:val="22"/>
          <w:szCs w:val="22"/>
        </w:rPr>
        <w:t xml:space="preserve"> “C</w:t>
      </w:r>
      <w:r>
        <w:rPr>
          <w:rFonts w:ascii="Arial" w:hAnsi="Arial" w:cs="Arial"/>
          <w:sz w:val="22"/>
          <w:szCs w:val="22"/>
        </w:rPr>
        <w:t>iudad</w:t>
      </w:r>
      <w:r w:rsidRPr="00881413">
        <w:rPr>
          <w:rFonts w:ascii="Arial" w:hAnsi="Arial" w:cs="Arial"/>
          <w:sz w:val="22"/>
          <w:szCs w:val="22"/>
        </w:rPr>
        <w:t xml:space="preserve">” </w:t>
      </w:r>
      <w:r>
        <w:rPr>
          <w:rFonts w:ascii="Arial" w:hAnsi="Arial" w:cs="Arial"/>
          <w:sz w:val="22"/>
          <w:szCs w:val="22"/>
        </w:rPr>
        <w:t>a</w:t>
      </w:r>
      <w:r w:rsidRPr="008814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la antigua Zapotlán el</w:t>
      </w:r>
      <w:r w:rsidRPr="00881413">
        <w:rPr>
          <w:rFonts w:ascii="Arial" w:hAnsi="Arial" w:cs="Arial"/>
          <w:sz w:val="22"/>
          <w:szCs w:val="22"/>
        </w:rPr>
        <w:t xml:space="preserve"> G</w:t>
      </w:r>
      <w:r>
        <w:rPr>
          <w:rFonts w:ascii="Arial" w:hAnsi="Arial" w:cs="Arial"/>
          <w:sz w:val="22"/>
          <w:szCs w:val="22"/>
        </w:rPr>
        <w:t>rande</w:t>
      </w:r>
      <w:r w:rsidRPr="00881413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>.</w:t>
      </w:r>
    </w:p>
    <w:p w:rsidR="00BD0DBB" w:rsidRDefault="00BD0DBB" w:rsidP="00BD0DBB">
      <w:pPr>
        <w:pStyle w:val="Sinespaciad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Cd. Guzmán Municipio de Zapotlán el Grande, Jalisco. </w:t>
      </w:r>
    </w:p>
    <w:p w:rsidR="00BD0DBB" w:rsidRDefault="008A74BC" w:rsidP="00BD0DBB">
      <w:pPr>
        <w:pStyle w:val="Sinespaciad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26</w:t>
      </w:r>
      <w:r w:rsidR="00090F56">
        <w:rPr>
          <w:rFonts w:ascii="Arial" w:hAnsi="Arial" w:cs="Arial"/>
          <w:sz w:val="22"/>
          <w:szCs w:val="22"/>
        </w:rPr>
        <w:t xml:space="preserve"> de Agosto</w:t>
      </w:r>
      <w:r w:rsidR="00BD0DBB">
        <w:rPr>
          <w:rFonts w:ascii="Arial" w:hAnsi="Arial" w:cs="Arial"/>
          <w:sz w:val="22"/>
          <w:szCs w:val="22"/>
        </w:rPr>
        <w:t xml:space="preserve"> de 2024. </w:t>
      </w:r>
    </w:p>
    <w:p w:rsidR="00BD0DBB" w:rsidRDefault="00BD0DBB" w:rsidP="00BD0DBB">
      <w:pPr>
        <w:jc w:val="center"/>
        <w:rPr>
          <w:rFonts w:ascii="Arial" w:hAnsi="Arial" w:cs="Arial"/>
          <w:sz w:val="20"/>
          <w:szCs w:val="20"/>
        </w:rPr>
      </w:pPr>
    </w:p>
    <w:p w:rsidR="00BD0DBB" w:rsidRDefault="00BD0DBB" w:rsidP="00BD0DBB">
      <w:pPr>
        <w:jc w:val="center"/>
        <w:rPr>
          <w:rFonts w:ascii="Arial" w:hAnsi="Arial" w:cs="Arial"/>
          <w:sz w:val="20"/>
          <w:szCs w:val="20"/>
        </w:rPr>
      </w:pPr>
    </w:p>
    <w:p w:rsidR="00BD0DBB" w:rsidRDefault="00BD0DBB" w:rsidP="00BD0DBB">
      <w:pPr>
        <w:jc w:val="center"/>
        <w:rPr>
          <w:rFonts w:ascii="Arial" w:hAnsi="Arial" w:cs="Arial"/>
          <w:sz w:val="20"/>
          <w:szCs w:val="20"/>
        </w:rPr>
      </w:pPr>
    </w:p>
    <w:p w:rsidR="00BD0DBB" w:rsidRDefault="00BD0DBB" w:rsidP="00BD0DBB">
      <w:pPr>
        <w:pStyle w:val="Sinespaciado"/>
        <w:jc w:val="center"/>
        <w:rPr>
          <w:rFonts w:ascii="Arial" w:hAnsi="Arial" w:cs="Arial"/>
          <w:bCs/>
          <w:lang w:val="es-ES"/>
        </w:rPr>
      </w:pPr>
    </w:p>
    <w:p w:rsidR="00BD0DBB" w:rsidRPr="0013696F" w:rsidRDefault="008A74BC" w:rsidP="00BD0DBB">
      <w:pPr>
        <w:pStyle w:val="Sinespaciado"/>
        <w:jc w:val="center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LI</w:t>
      </w:r>
      <w:r w:rsidR="00BD0DBB" w:rsidRPr="0013696F">
        <w:rPr>
          <w:rFonts w:ascii="Arial" w:hAnsi="Arial" w:cs="Arial"/>
          <w:b/>
          <w:bCs/>
          <w:lang w:val="es-ES"/>
        </w:rPr>
        <w:t>C. JORGE DE JESÚS JUÁREZ PARRA.</w:t>
      </w:r>
    </w:p>
    <w:p w:rsidR="00BD0DBB" w:rsidRDefault="00BD0DBB" w:rsidP="00BD0DBB">
      <w:pPr>
        <w:pStyle w:val="Sinespaciado"/>
        <w:jc w:val="center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 xml:space="preserve">Regidor Presidente de la Comisión Edilicia Permanente de Espectáculos Públicos </w:t>
      </w:r>
    </w:p>
    <w:p w:rsidR="00BD0DBB" w:rsidRDefault="00BD0DBB" w:rsidP="00BD0DBB">
      <w:pPr>
        <w:pStyle w:val="Sinespaciad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  <w:lang w:val="es-ES"/>
        </w:rPr>
        <w:t xml:space="preserve">e Inspección y Vigilancia. </w:t>
      </w:r>
    </w:p>
    <w:p w:rsidR="00BD0DBB" w:rsidRDefault="00BD0DBB" w:rsidP="00BD0DBB">
      <w:pPr>
        <w:pStyle w:val="Sinespaciado"/>
        <w:jc w:val="center"/>
        <w:rPr>
          <w:rFonts w:ascii="Arial" w:hAnsi="Arial" w:cs="Arial"/>
          <w:bCs/>
        </w:rPr>
      </w:pPr>
    </w:p>
    <w:p w:rsidR="00BD0DBB" w:rsidRDefault="00BD0DBB" w:rsidP="00BD0DBB">
      <w:pPr>
        <w:pStyle w:val="Sinespaciado"/>
        <w:jc w:val="center"/>
        <w:rPr>
          <w:rFonts w:ascii="Arial" w:hAnsi="Arial" w:cs="Arial"/>
          <w:bCs/>
        </w:rPr>
      </w:pPr>
    </w:p>
    <w:p w:rsidR="00BD0DBB" w:rsidRDefault="00BD0DBB" w:rsidP="00BD0DBB">
      <w:pPr>
        <w:pStyle w:val="Sinespaciado"/>
        <w:jc w:val="center"/>
        <w:rPr>
          <w:rFonts w:ascii="Arial" w:hAnsi="Arial" w:cs="Arial"/>
          <w:bCs/>
        </w:rPr>
      </w:pPr>
    </w:p>
    <w:p w:rsidR="00BD0DBB" w:rsidRPr="008A74BC" w:rsidRDefault="008A74BC" w:rsidP="008A74BC">
      <w:pPr>
        <w:pStyle w:val="Sinespaciad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La presente hoja de firmas, forma parte integrante del oficio número 987/2024, que contiene a convocatoria a la Vigésima Sesión Ordinaria de la Comisión Edilicia Permanente de Espectáculos Públicos e Inspección y Vigilancia. </w:t>
      </w:r>
    </w:p>
    <w:p w:rsidR="00BD0DBB" w:rsidRDefault="00BD0DBB" w:rsidP="00BD0DBB">
      <w:pPr>
        <w:jc w:val="center"/>
        <w:rPr>
          <w:rFonts w:ascii="Arial" w:hAnsi="Arial" w:cs="Arial"/>
        </w:rPr>
      </w:pPr>
    </w:p>
    <w:p w:rsidR="00BD0DBB" w:rsidRDefault="00BD0DBB" w:rsidP="00BD0DBB">
      <w:pPr>
        <w:jc w:val="both"/>
      </w:pPr>
      <w:r>
        <w:rPr>
          <w:rFonts w:ascii="Arial" w:hAnsi="Arial" w:cs="Arial"/>
          <w:sz w:val="16"/>
          <w:szCs w:val="16"/>
        </w:rPr>
        <w:t>*JJJP/mgpa.  Regidores.</w:t>
      </w:r>
    </w:p>
    <w:p w:rsidR="00BD0DBB" w:rsidRDefault="00BD0DBB" w:rsidP="00BD0DBB"/>
    <w:p w:rsidR="00BD0DBB" w:rsidRDefault="00BD0DBB" w:rsidP="00BD0DBB"/>
    <w:p w:rsidR="004B7BE4" w:rsidRDefault="004B7BE4"/>
    <w:sectPr w:rsidR="004B7BE4" w:rsidSect="00440939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2410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772" w:rsidRDefault="00152772">
      <w:r>
        <w:separator/>
      </w:r>
    </w:p>
  </w:endnote>
  <w:endnote w:type="continuationSeparator" w:id="0">
    <w:p w:rsidR="00152772" w:rsidRDefault="00152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99101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es-ES"/>
      </w:rPr>
    </w:sdtEndPr>
    <w:sdtContent>
      <w:p w:rsidR="00BA0287" w:rsidRDefault="00587BFC">
        <w:pPr>
          <w:pStyle w:val="Piedepgin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096" w:rsidRPr="00541096">
          <w:rPr>
            <w:noProof/>
            <w:lang w:val="es-ES"/>
          </w:rPr>
          <w:t>2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p>
    </w:sdtContent>
  </w:sdt>
  <w:p w:rsidR="00BA0287" w:rsidRDefault="001527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772" w:rsidRDefault="00152772">
      <w:r>
        <w:separator/>
      </w:r>
    </w:p>
  </w:footnote>
  <w:footnote w:type="continuationSeparator" w:id="0">
    <w:p w:rsidR="00152772" w:rsidRDefault="00152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152772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alt="" style="position:absolute;margin-left:0;margin-top:0;width:612pt;height:11in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152772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65.05pt;margin-top:-131.7pt;width:612pt;height:11in;z-index:-251658240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587BFC">
      <w:rPr>
        <w:noProof/>
        <w:lang w:val="es-MX" w:eastAsia="es-MX"/>
      </w:rPr>
      <w:drawing>
        <wp:anchor distT="0" distB="0" distL="114300" distR="114300" simplePos="0" relativeHeight="251656192" behindDoc="0" locked="0" layoutInCell="1" allowOverlap="1" wp14:anchorId="4DD77891" wp14:editId="5E393BF3">
          <wp:simplePos x="0" y="0"/>
          <wp:positionH relativeFrom="column">
            <wp:posOffset>3540637</wp:posOffset>
          </wp:positionH>
          <wp:positionV relativeFrom="paragraph">
            <wp:posOffset>-274320</wp:posOffset>
          </wp:positionV>
          <wp:extent cx="2362200" cy="1109345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152772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B"/>
    <w:rsid w:val="00090F56"/>
    <w:rsid w:val="00152772"/>
    <w:rsid w:val="004B7BE4"/>
    <w:rsid w:val="00541096"/>
    <w:rsid w:val="00587BFC"/>
    <w:rsid w:val="008A74BC"/>
    <w:rsid w:val="00BD0DBB"/>
    <w:rsid w:val="00E1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9A91252"/>
  <w15:chartTrackingRefBased/>
  <w15:docId w15:val="{FEE88660-8709-4A71-B08E-B4269A3A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DBB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0D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0DBB"/>
    <w:rPr>
      <w:rFonts w:eastAsiaTheme="minorEastAsia"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BD0DBB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D0DBB"/>
    <w:rPr>
      <w:rFonts w:eastAsiaTheme="minorEastAsia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BD0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BD0D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DBB"/>
    <w:rPr>
      <w:rFonts w:eastAsiaTheme="minorEastAsia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7BF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7BFC"/>
    <w:rPr>
      <w:rFonts w:ascii="Segoe UI" w:eastAsiaTheme="minorEastAsia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2</cp:revision>
  <cp:lastPrinted>2024-08-26T15:23:00Z</cp:lastPrinted>
  <dcterms:created xsi:type="dcterms:W3CDTF">2024-08-26T15:34:00Z</dcterms:created>
  <dcterms:modified xsi:type="dcterms:W3CDTF">2024-08-26T15:34:00Z</dcterms:modified>
</cp:coreProperties>
</file>