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C84C0" w14:textId="77777777" w:rsidR="0087514A" w:rsidRDefault="0087514A" w:rsidP="00FB72B7">
      <w:pPr>
        <w:spacing w:after="0"/>
      </w:pPr>
    </w:p>
    <w:tbl>
      <w:tblPr>
        <w:tblStyle w:val="Tablaconcuadrcula"/>
        <w:tblpPr w:leftFromText="141" w:rightFromText="141" w:tblpY="34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919C7" w14:paraId="0499F04B" w14:textId="77777777" w:rsidTr="0087514A">
        <w:tc>
          <w:tcPr>
            <w:tcW w:w="9634" w:type="dxa"/>
          </w:tcPr>
          <w:p w14:paraId="627D8666" w14:textId="61118287" w:rsidR="009919C7" w:rsidRPr="00863BFB" w:rsidRDefault="00FB72B7" w:rsidP="00FB72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DÉCIMA SEGUNDA </w:t>
            </w:r>
            <w:r w:rsidR="009919C7" w:rsidRPr="00774098">
              <w:rPr>
                <w:rFonts w:eastAsia="Calibri"/>
                <w:b/>
                <w:bCs/>
                <w:sz w:val="28"/>
                <w:szCs w:val="28"/>
              </w:rPr>
              <w:t xml:space="preserve">SESIÓN ORDINARIA DE LA COMISIÓN EDILICIA PERMANENTE DE </w:t>
            </w:r>
            <w:r w:rsidR="009919C7"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="009919C7"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 w:rsidR="009919C7"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</w:tc>
      </w:tr>
    </w:tbl>
    <w:p w14:paraId="20A41CAE" w14:textId="77777777" w:rsidR="009919C7" w:rsidRDefault="009919C7" w:rsidP="00FB72B7">
      <w:pPr>
        <w:spacing w:after="0"/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919C7" w14:paraId="67077D08" w14:textId="77777777" w:rsidTr="00021CEA">
        <w:tc>
          <w:tcPr>
            <w:tcW w:w="9634" w:type="dxa"/>
          </w:tcPr>
          <w:p w14:paraId="52ECF1DD" w14:textId="77777777" w:rsidR="009919C7" w:rsidRPr="005C3319" w:rsidRDefault="009919C7" w:rsidP="00FB72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3319">
              <w:rPr>
                <w:rFonts w:ascii="Arial" w:hAnsi="Arial" w:cs="Arial"/>
                <w:b/>
                <w:bCs/>
                <w:sz w:val="24"/>
                <w:szCs w:val="24"/>
              </w:rPr>
              <w:t>SENTIDO DEL VOTO.</w:t>
            </w:r>
          </w:p>
        </w:tc>
      </w:tr>
    </w:tbl>
    <w:p w14:paraId="0E81FF54" w14:textId="27A6AE94" w:rsidR="0087514A" w:rsidRPr="00FB72B7" w:rsidRDefault="00FB72B7" w:rsidP="00FB72B7">
      <w:pPr>
        <w:spacing w:before="240" w:after="120" w:line="20" w:lineRule="atLeas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</w:rPr>
        <w:t>2</w:t>
      </w:r>
      <w:r w:rsidR="006F0B41" w:rsidRPr="00FB72B7">
        <w:rPr>
          <w:rFonts w:ascii="Arial" w:hAnsi="Arial" w:cs="Arial"/>
          <w:b/>
        </w:rPr>
        <w:t>.-</w:t>
      </w:r>
      <w:r w:rsidR="006F0B41" w:rsidRPr="00FB72B7">
        <w:rPr>
          <w:rFonts w:ascii="Arial" w:hAnsi="Arial" w:cs="Arial"/>
        </w:rPr>
        <w:t xml:space="preserve"> </w:t>
      </w:r>
      <w:r w:rsidRPr="00FB72B7">
        <w:rPr>
          <w:rFonts w:ascii="Arial" w:hAnsi="Arial" w:cs="Arial"/>
          <w:sz w:val="24"/>
          <w:szCs w:val="24"/>
        </w:rPr>
        <w:t>Estudio, análisis y en su caso, dictaminación respecto de la notificación 434/2026 que corresponde a la aprobación por mayoría calificada del pleno del Ayuntamiento de la iniciativa de ordenamiento que turna a las comisiones edilicias permanentes de Hacienda pública y Patrimonio municipal como convocante y Reglamentos y Gobernación como coadyuvante a efecto de que se aboguen al estudio de discusión y aprobación y dictaminación de la modificación y propuestas al reglamento para el control y vigilancia del fondo de ahorro de los servidores públicos del Ayuntamiento de Zapotlán el Grande, Jalisco.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7"/>
        <w:gridCol w:w="2406"/>
        <w:gridCol w:w="2406"/>
        <w:gridCol w:w="2408"/>
      </w:tblGrid>
      <w:tr w:rsidR="006F0B41" w:rsidRPr="00EF6F4C" w14:paraId="55B179BC" w14:textId="77777777" w:rsidTr="006F0B41">
        <w:trPr>
          <w:trHeight w:val="120"/>
        </w:trPr>
        <w:tc>
          <w:tcPr>
            <w:tcW w:w="9627" w:type="dxa"/>
            <w:gridSpan w:val="4"/>
          </w:tcPr>
          <w:p w14:paraId="2C2D01F9" w14:textId="77777777" w:rsidR="006F0B41" w:rsidRPr="006F0B41" w:rsidRDefault="006F0B41" w:rsidP="006F0B41">
            <w:pPr>
              <w:ind w:right="-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B41">
              <w:rPr>
                <w:rFonts w:ascii="Arial" w:hAnsi="Arial" w:cs="Arial"/>
                <w:bCs/>
                <w:sz w:val="18"/>
                <w:szCs w:val="18"/>
              </w:rPr>
              <w:t>Comisión convocante: Hacienda Pública y Patrimonio Municipal</w:t>
            </w:r>
          </w:p>
        </w:tc>
      </w:tr>
      <w:tr w:rsidR="009919C7" w:rsidRPr="00EF6F4C" w14:paraId="236CB873" w14:textId="77777777" w:rsidTr="006F0B41">
        <w:tc>
          <w:tcPr>
            <w:tcW w:w="2407" w:type="dxa"/>
          </w:tcPr>
          <w:p w14:paraId="1497F7B1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Regidor</w:t>
            </w:r>
          </w:p>
        </w:tc>
        <w:tc>
          <w:tcPr>
            <w:tcW w:w="2406" w:type="dxa"/>
          </w:tcPr>
          <w:p w14:paraId="25060556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A favor</w:t>
            </w:r>
          </w:p>
        </w:tc>
        <w:tc>
          <w:tcPr>
            <w:tcW w:w="2406" w:type="dxa"/>
          </w:tcPr>
          <w:p w14:paraId="73078B62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En contra</w:t>
            </w:r>
          </w:p>
        </w:tc>
        <w:tc>
          <w:tcPr>
            <w:tcW w:w="2408" w:type="dxa"/>
          </w:tcPr>
          <w:p w14:paraId="037B11F6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 xml:space="preserve">En abstención. </w:t>
            </w:r>
          </w:p>
        </w:tc>
      </w:tr>
      <w:tr w:rsidR="009919C7" w:rsidRPr="00EF6F4C" w14:paraId="4393C7D3" w14:textId="77777777" w:rsidTr="006F0B41">
        <w:tc>
          <w:tcPr>
            <w:tcW w:w="2407" w:type="dxa"/>
          </w:tcPr>
          <w:p w14:paraId="1CECE274" w14:textId="77777777" w:rsidR="009919C7" w:rsidRPr="00EF6F4C" w:rsidRDefault="009919C7" w:rsidP="009919C7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C. Miguel Marentes. </w:t>
            </w:r>
          </w:p>
          <w:p w14:paraId="46B84B57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Regidor y Presidente</w:t>
            </w:r>
            <w:r w:rsidRPr="00EF6F4C">
              <w:rPr>
                <w:rFonts w:ascii="Arial" w:hAnsi="Arial" w:cs="Arial"/>
                <w:sz w:val="16"/>
                <w:szCs w:val="16"/>
              </w:rPr>
              <w:t xml:space="preserve"> de la Comisión Edilicia Permanente de </w:t>
            </w:r>
            <w:r>
              <w:rPr>
                <w:rFonts w:ascii="Arial" w:hAnsi="Arial" w:cs="Arial"/>
                <w:sz w:val="16"/>
                <w:szCs w:val="16"/>
              </w:rPr>
              <w:t>Hacienda Pública y Patrimonio Municipal.</w:t>
            </w:r>
          </w:p>
        </w:tc>
        <w:tc>
          <w:tcPr>
            <w:tcW w:w="2406" w:type="dxa"/>
          </w:tcPr>
          <w:p w14:paraId="272F2239" w14:textId="77777777" w:rsidR="009919C7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640A179" w14:textId="77777777" w:rsidR="009919C7" w:rsidRDefault="009919C7" w:rsidP="006F0B41">
            <w:pPr>
              <w:ind w:right="-22"/>
              <w:rPr>
                <w:rFonts w:ascii="Arial" w:hAnsi="Arial" w:cs="Arial"/>
                <w:sz w:val="16"/>
                <w:szCs w:val="16"/>
              </w:rPr>
            </w:pPr>
          </w:p>
          <w:p w14:paraId="087F84B7" w14:textId="77777777" w:rsidR="009919C7" w:rsidRPr="00EF6F4C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406" w:type="dxa"/>
          </w:tcPr>
          <w:p w14:paraId="1F130739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14:paraId="3808C5A9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9C7" w:rsidRPr="00EF6F4C" w14:paraId="09B014D4" w14:textId="77777777" w:rsidTr="006F0B41">
        <w:tc>
          <w:tcPr>
            <w:tcW w:w="2407" w:type="dxa"/>
          </w:tcPr>
          <w:p w14:paraId="1765C4EB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b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sz w:val="16"/>
                <w:szCs w:val="16"/>
              </w:rPr>
              <w:t>. Claudia Margarita Robles Gómez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</w:p>
          <w:p w14:paraId="364027FD" w14:textId="77777777" w:rsidR="009919C7" w:rsidRPr="00EF6F4C" w:rsidRDefault="009919C7" w:rsidP="009919C7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Síndica Municipal y </w:t>
            </w:r>
            <w:r w:rsidRPr="00EF6F4C">
              <w:rPr>
                <w:rFonts w:ascii="Arial" w:hAnsi="Arial" w:cs="Arial"/>
                <w:sz w:val="16"/>
                <w:szCs w:val="16"/>
              </w:rPr>
              <w:t>Vocal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EF6F4C">
              <w:rPr>
                <w:rFonts w:ascii="Arial" w:hAnsi="Arial" w:cs="Arial"/>
                <w:sz w:val="16"/>
                <w:szCs w:val="16"/>
              </w:rPr>
              <w:t xml:space="preserve">de la Comisión Edilicia Permanente de </w:t>
            </w:r>
            <w:r>
              <w:rPr>
                <w:rFonts w:ascii="Arial" w:hAnsi="Arial" w:cs="Arial"/>
                <w:sz w:val="16"/>
                <w:szCs w:val="16"/>
              </w:rPr>
              <w:t>Hacienda Pública y Patrimonio Municipal.</w:t>
            </w:r>
          </w:p>
        </w:tc>
        <w:tc>
          <w:tcPr>
            <w:tcW w:w="2406" w:type="dxa"/>
          </w:tcPr>
          <w:p w14:paraId="564AECBA" w14:textId="77777777" w:rsidR="009919C7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36870EB" w14:textId="77777777" w:rsidR="009919C7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8C09694" w14:textId="77777777" w:rsidR="009919C7" w:rsidRDefault="006F0B41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  <w:p w14:paraId="7F5D6FDF" w14:textId="77777777" w:rsidR="009919C7" w:rsidRPr="00EF6F4C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6" w:type="dxa"/>
          </w:tcPr>
          <w:p w14:paraId="3E99C27C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14:paraId="2BC6EE48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9C7" w:rsidRPr="00EF6F4C" w14:paraId="32815163" w14:textId="77777777" w:rsidTr="006F0B41">
        <w:tc>
          <w:tcPr>
            <w:tcW w:w="2407" w:type="dxa"/>
          </w:tcPr>
          <w:p w14:paraId="431BC63B" w14:textId="362C44B4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b/>
                <w:sz w:val="16"/>
                <w:szCs w:val="16"/>
              </w:rPr>
              <w:t>C.</w:t>
            </w:r>
            <w:r w:rsidR="00FB72B7">
              <w:rPr>
                <w:rFonts w:ascii="Arial" w:hAnsi="Arial" w:cs="Arial"/>
                <w:b/>
                <w:sz w:val="16"/>
                <w:szCs w:val="16"/>
              </w:rPr>
              <w:t xml:space="preserve"> María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Hidania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Romero Rodríguez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</w:p>
          <w:p w14:paraId="1B90AEA3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Regidor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EF6F4C">
              <w:rPr>
                <w:rFonts w:ascii="Arial" w:hAnsi="Arial" w:cs="Arial"/>
                <w:sz w:val="16"/>
                <w:szCs w:val="16"/>
              </w:rPr>
              <w:t xml:space="preserve"> Vocal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EF6F4C">
              <w:rPr>
                <w:rFonts w:ascii="Arial" w:hAnsi="Arial" w:cs="Arial"/>
                <w:sz w:val="16"/>
                <w:szCs w:val="16"/>
              </w:rPr>
              <w:t xml:space="preserve">de la Comisión Edilicia Permanente de </w:t>
            </w:r>
            <w:r>
              <w:rPr>
                <w:rFonts w:ascii="Arial" w:hAnsi="Arial" w:cs="Arial"/>
                <w:sz w:val="16"/>
                <w:szCs w:val="16"/>
              </w:rPr>
              <w:t>Hacienda Pública y Patrimonio Municipal.</w:t>
            </w:r>
          </w:p>
        </w:tc>
        <w:tc>
          <w:tcPr>
            <w:tcW w:w="2406" w:type="dxa"/>
          </w:tcPr>
          <w:p w14:paraId="18885798" w14:textId="77777777" w:rsidR="009919C7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195146C" w14:textId="77777777" w:rsidR="009919C7" w:rsidRDefault="009919C7" w:rsidP="006F0B41">
            <w:pPr>
              <w:ind w:right="-22"/>
              <w:rPr>
                <w:rFonts w:ascii="Arial" w:hAnsi="Arial" w:cs="Arial"/>
                <w:sz w:val="16"/>
                <w:szCs w:val="16"/>
              </w:rPr>
            </w:pPr>
          </w:p>
          <w:p w14:paraId="0F3D418A" w14:textId="77777777" w:rsidR="006F0B41" w:rsidRDefault="006F0B41" w:rsidP="006F0B41">
            <w:pPr>
              <w:ind w:right="-22"/>
              <w:rPr>
                <w:rFonts w:ascii="Arial" w:hAnsi="Arial" w:cs="Arial"/>
                <w:sz w:val="16"/>
                <w:szCs w:val="16"/>
              </w:rPr>
            </w:pPr>
          </w:p>
          <w:p w14:paraId="3C07F77E" w14:textId="77777777" w:rsidR="009919C7" w:rsidRPr="00EF6F4C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406" w:type="dxa"/>
          </w:tcPr>
          <w:p w14:paraId="18AE64A2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14:paraId="755755BE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9C7" w:rsidRPr="00EF6F4C" w14:paraId="49ED33AE" w14:textId="77777777" w:rsidTr="006F0B41">
        <w:tc>
          <w:tcPr>
            <w:tcW w:w="2407" w:type="dxa"/>
          </w:tcPr>
          <w:p w14:paraId="261C0414" w14:textId="2944C484" w:rsidR="009919C7" w:rsidRPr="009919C7" w:rsidRDefault="009919C7" w:rsidP="00021CEA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C.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José </w:t>
            </w:r>
            <w:r w:rsidR="00FB72B7">
              <w:rPr>
                <w:rFonts w:ascii="Arial" w:hAnsi="Arial" w:cs="Arial"/>
                <w:b/>
                <w:sz w:val="16"/>
                <w:szCs w:val="16"/>
              </w:rPr>
              <w:t>Bertín</w:t>
            </w:r>
            <w:r w:rsidR="00D81F9A">
              <w:rPr>
                <w:rFonts w:ascii="Arial" w:hAnsi="Arial" w:cs="Arial"/>
                <w:b/>
                <w:sz w:val="16"/>
                <w:szCs w:val="16"/>
              </w:rPr>
              <w:t xml:space="preserve"> Chávez Vargas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</w:p>
          <w:p w14:paraId="1BD54730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Regidor Vocal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EF6F4C">
              <w:rPr>
                <w:rFonts w:ascii="Arial" w:hAnsi="Arial" w:cs="Arial"/>
                <w:sz w:val="16"/>
                <w:szCs w:val="16"/>
              </w:rPr>
              <w:t xml:space="preserve">de la Comisión Edilicia Permanente de </w:t>
            </w:r>
            <w:r>
              <w:rPr>
                <w:rFonts w:ascii="Arial" w:hAnsi="Arial" w:cs="Arial"/>
                <w:sz w:val="16"/>
                <w:szCs w:val="16"/>
              </w:rPr>
              <w:t>Hacienda Pública y Patrimonio Municipal.</w:t>
            </w:r>
          </w:p>
        </w:tc>
        <w:tc>
          <w:tcPr>
            <w:tcW w:w="2406" w:type="dxa"/>
          </w:tcPr>
          <w:p w14:paraId="6018C0B2" w14:textId="77777777" w:rsidR="009919C7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6" w:type="dxa"/>
          </w:tcPr>
          <w:p w14:paraId="30A558B6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14:paraId="5249151C" w14:textId="77777777" w:rsidR="009919C7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8BBA897" w14:textId="77777777" w:rsidR="006F0B41" w:rsidRDefault="006F0B41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23F8565" w14:textId="77777777" w:rsidR="006F0B41" w:rsidRPr="00EF6F4C" w:rsidRDefault="006F0B41" w:rsidP="006F0B41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9919C7" w:rsidRPr="00EF6F4C" w14:paraId="4D52B41C" w14:textId="77777777" w:rsidTr="006F0B41">
        <w:tc>
          <w:tcPr>
            <w:tcW w:w="2407" w:type="dxa"/>
          </w:tcPr>
          <w:p w14:paraId="2BE478B2" w14:textId="77777777" w:rsidR="00D81F9A" w:rsidRPr="00D81F9A" w:rsidRDefault="00D81F9A" w:rsidP="00021CEA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C. </w:t>
            </w:r>
            <w:r>
              <w:rPr>
                <w:rFonts w:ascii="Arial" w:hAnsi="Arial" w:cs="Arial"/>
                <w:b/>
                <w:sz w:val="16"/>
                <w:szCs w:val="16"/>
              </w:rPr>
              <w:t>Gustavo López Sandoval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</w:p>
          <w:p w14:paraId="76F72060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Regidor Vocal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EF6F4C">
              <w:rPr>
                <w:rFonts w:ascii="Arial" w:hAnsi="Arial" w:cs="Arial"/>
                <w:sz w:val="16"/>
                <w:szCs w:val="16"/>
              </w:rPr>
              <w:t xml:space="preserve">de la Comisión Edilicia Permanente de </w:t>
            </w:r>
            <w:r>
              <w:rPr>
                <w:rFonts w:ascii="Arial" w:hAnsi="Arial" w:cs="Arial"/>
                <w:sz w:val="16"/>
                <w:szCs w:val="16"/>
              </w:rPr>
              <w:t>Hacienda Pública y Patrimonio Municipal.</w:t>
            </w:r>
          </w:p>
        </w:tc>
        <w:tc>
          <w:tcPr>
            <w:tcW w:w="2406" w:type="dxa"/>
          </w:tcPr>
          <w:p w14:paraId="01A1E94E" w14:textId="77777777" w:rsidR="009919C7" w:rsidRDefault="009919C7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B801480" w14:textId="77777777" w:rsidR="00D81F9A" w:rsidRDefault="00D81F9A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B9F5110" w14:textId="77777777" w:rsidR="00D81F9A" w:rsidRDefault="00D81F9A" w:rsidP="00021CEA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6" w:type="dxa"/>
          </w:tcPr>
          <w:p w14:paraId="69F59A97" w14:textId="77777777"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14:paraId="0E389383" w14:textId="77777777" w:rsidR="009919C7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B7FB759" w14:textId="77777777" w:rsidR="006F0B41" w:rsidRDefault="006F0B41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DA991FE" w14:textId="77777777" w:rsidR="006F0B41" w:rsidRPr="00EF6F4C" w:rsidRDefault="006F0B41" w:rsidP="006F0B41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</w:tbl>
    <w:p w14:paraId="78D47328" w14:textId="77777777" w:rsidR="009919C7" w:rsidRDefault="009919C7" w:rsidP="0087514A">
      <w:pPr>
        <w:ind w:right="-22"/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7"/>
        <w:gridCol w:w="2406"/>
        <w:gridCol w:w="2406"/>
        <w:gridCol w:w="2408"/>
      </w:tblGrid>
      <w:tr w:rsidR="0087514A" w:rsidRPr="006F0B41" w14:paraId="441D15A3" w14:textId="77777777" w:rsidTr="00F50A8C">
        <w:trPr>
          <w:trHeight w:val="120"/>
        </w:trPr>
        <w:tc>
          <w:tcPr>
            <w:tcW w:w="9627" w:type="dxa"/>
            <w:gridSpan w:val="4"/>
          </w:tcPr>
          <w:p w14:paraId="0952AF55" w14:textId="45A437B6" w:rsidR="0087514A" w:rsidRPr="006F0B41" w:rsidRDefault="0087514A" w:rsidP="00F50A8C">
            <w:pPr>
              <w:ind w:right="-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Comisión coadyuv</w:t>
            </w:r>
            <w:r w:rsidRPr="006F0B41">
              <w:rPr>
                <w:rFonts w:ascii="Arial" w:hAnsi="Arial" w:cs="Arial"/>
                <w:bCs/>
                <w:sz w:val="18"/>
                <w:szCs w:val="18"/>
              </w:rPr>
              <w:t xml:space="preserve">ante: </w:t>
            </w:r>
            <w:r w:rsidR="00FB72B7">
              <w:rPr>
                <w:rFonts w:ascii="Arial" w:hAnsi="Arial" w:cs="Arial"/>
                <w:bCs/>
                <w:sz w:val="18"/>
                <w:szCs w:val="18"/>
              </w:rPr>
              <w:t>Reglamentos y Gobernación</w:t>
            </w:r>
          </w:p>
        </w:tc>
      </w:tr>
      <w:tr w:rsidR="0087514A" w:rsidRPr="00EF6F4C" w14:paraId="1F00A96D" w14:textId="77777777" w:rsidTr="00F50A8C">
        <w:tc>
          <w:tcPr>
            <w:tcW w:w="2407" w:type="dxa"/>
          </w:tcPr>
          <w:p w14:paraId="2AD3EC2D" w14:textId="77777777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Regidor</w:t>
            </w:r>
          </w:p>
        </w:tc>
        <w:tc>
          <w:tcPr>
            <w:tcW w:w="2406" w:type="dxa"/>
          </w:tcPr>
          <w:p w14:paraId="1F184BA6" w14:textId="77777777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A favor</w:t>
            </w:r>
          </w:p>
        </w:tc>
        <w:tc>
          <w:tcPr>
            <w:tcW w:w="2406" w:type="dxa"/>
          </w:tcPr>
          <w:p w14:paraId="021AD5DB" w14:textId="77777777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En contra</w:t>
            </w:r>
          </w:p>
        </w:tc>
        <w:tc>
          <w:tcPr>
            <w:tcW w:w="2408" w:type="dxa"/>
          </w:tcPr>
          <w:p w14:paraId="5A8AEF06" w14:textId="77777777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 xml:space="preserve">En abstención. </w:t>
            </w:r>
          </w:p>
        </w:tc>
      </w:tr>
      <w:tr w:rsidR="0087514A" w:rsidRPr="00EF6F4C" w14:paraId="61E37A6B" w14:textId="77777777" w:rsidTr="00F50A8C">
        <w:tc>
          <w:tcPr>
            <w:tcW w:w="2407" w:type="dxa"/>
          </w:tcPr>
          <w:p w14:paraId="777088D2" w14:textId="77DA0E8E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C. </w:t>
            </w:r>
            <w:r w:rsidR="00FB72B7">
              <w:rPr>
                <w:rFonts w:ascii="Arial" w:hAnsi="Arial" w:cs="Arial"/>
                <w:b/>
                <w:sz w:val="16"/>
                <w:szCs w:val="16"/>
              </w:rPr>
              <w:t>Claudia Margarita Robles Gómez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</w:p>
          <w:p w14:paraId="333DD268" w14:textId="10C1483F" w:rsidR="0087514A" w:rsidRPr="00EF6F4C" w:rsidRDefault="00FB72B7" w:rsidP="00F50A8C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Síndica</w:t>
            </w:r>
            <w:r w:rsidR="0087514A">
              <w:rPr>
                <w:rFonts w:ascii="Arial" w:hAnsi="Arial" w:cs="Arial"/>
                <w:sz w:val="16"/>
                <w:szCs w:val="16"/>
              </w:rPr>
              <w:t xml:space="preserve"> y </w:t>
            </w:r>
            <w:proofErr w:type="gramStart"/>
            <w:r w:rsidR="0087514A">
              <w:rPr>
                <w:rFonts w:ascii="Arial" w:hAnsi="Arial" w:cs="Arial"/>
                <w:sz w:val="16"/>
                <w:szCs w:val="16"/>
              </w:rPr>
              <w:t>President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proofErr w:type="gramEnd"/>
            <w:r w:rsidR="0087514A" w:rsidRPr="00EF6F4C">
              <w:rPr>
                <w:rFonts w:ascii="Arial" w:hAnsi="Arial" w:cs="Arial"/>
                <w:sz w:val="16"/>
                <w:szCs w:val="16"/>
              </w:rPr>
              <w:t xml:space="preserve"> de la Comisión Edilicia Permanente </w:t>
            </w:r>
            <w:r w:rsidR="0087514A" w:rsidRPr="00FB72B7">
              <w:rPr>
                <w:rFonts w:ascii="Arial" w:hAnsi="Arial" w:cs="Arial"/>
                <w:sz w:val="15"/>
                <w:szCs w:val="15"/>
              </w:rPr>
              <w:t>de</w:t>
            </w:r>
            <w:r w:rsidRPr="00FB72B7">
              <w:rPr>
                <w:rFonts w:ascii="Arial" w:hAnsi="Arial" w:cs="Arial"/>
                <w:sz w:val="15"/>
                <w:szCs w:val="15"/>
              </w:rPr>
              <w:t xml:space="preserve"> Reglamentos y Gobernación.</w:t>
            </w:r>
          </w:p>
        </w:tc>
        <w:tc>
          <w:tcPr>
            <w:tcW w:w="2406" w:type="dxa"/>
          </w:tcPr>
          <w:p w14:paraId="65BDABD5" w14:textId="77777777" w:rsidR="0087514A" w:rsidRDefault="0087514A" w:rsidP="00F50A8C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875F23B" w14:textId="77777777" w:rsidR="0087514A" w:rsidRDefault="0087514A" w:rsidP="00F50A8C">
            <w:pPr>
              <w:ind w:right="-22"/>
              <w:rPr>
                <w:rFonts w:ascii="Arial" w:hAnsi="Arial" w:cs="Arial"/>
                <w:sz w:val="16"/>
                <w:szCs w:val="16"/>
              </w:rPr>
            </w:pPr>
          </w:p>
          <w:p w14:paraId="1FDA91D5" w14:textId="77777777" w:rsidR="0087514A" w:rsidRPr="00EF6F4C" w:rsidRDefault="0087514A" w:rsidP="00F50A8C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406" w:type="dxa"/>
          </w:tcPr>
          <w:p w14:paraId="1F196E66" w14:textId="77777777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14:paraId="2DAD069D" w14:textId="77777777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514A" w:rsidRPr="00EF6F4C" w14:paraId="054B0A45" w14:textId="77777777" w:rsidTr="00F50A8C">
        <w:tc>
          <w:tcPr>
            <w:tcW w:w="2407" w:type="dxa"/>
          </w:tcPr>
          <w:p w14:paraId="6EDC3C5A" w14:textId="18819338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b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r w:rsidR="00FB72B7">
              <w:rPr>
                <w:rFonts w:ascii="Arial" w:hAnsi="Arial" w:cs="Arial"/>
                <w:b/>
                <w:sz w:val="16"/>
                <w:szCs w:val="16"/>
              </w:rPr>
              <w:t>Miguel Marentes.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12042E9A" w14:textId="644D2C21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Regidor </w:t>
            </w:r>
            <w:r w:rsidRPr="00EF6F4C">
              <w:rPr>
                <w:rFonts w:ascii="Arial" w:hAnsi="Arial" w:cs="Arial"/>
                <w:sz w:val="16"/>
                <w:szCs w:val="16"/>
              </w:rPr>
              <w:t>Vocal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EF6F4C">
              <w:rPr>
                <w:rFonts w:ascii="Arial" w:hAnsi="Arial" w:cs="Arial"/>
                <w:sz w:val="16"/>
                <w:szCs w:val="16"/>
              </w:rPr>
              <w:t xml:space="preserve">de la Comisión </w:t>
            </w:r>
            <w:proofErr w:type="gramStart"/>
            <w:r w:rsidRPr="00EF6F4C"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 w:rsidRPr="00EF6F4C">
              <w:rPr>
                <w:rFonts w:ascii="Arial" w:hAnsi="Arial" w:cs="Arial"/>
                <w:sz w:val="16"/>
                <w:szCs w:val="16"/>
              </w:rPr>
              <w:t xml:space="preserve"> Permanente de </w:t>
            </w:r>
            <w:r w:rsidR="00FB72B7">
              <w:rPr>
                <w:rFonts w:ascii="Arial" w:hAnsi="Arial" w:cs="Arial"/>
                <w:sz w:val="16"/>
                <w:szCs w:val="16"/>
              </w:rPr>
              <w:t>Reglamentos y Gobernación</w:t>
            </w:r>
          </w:p>
        </w:tc>
        <w:tc>
          <w:tcPr>
            <w:tcW w:w="2406" w:type="dxa"/>
          </w:tcPr>
          <w:p w14:paraId="457C7E9F" w14:textId="77777777" w:rsidR="0087514A" w:rsidRDefault="0087514A" w:rsidP="00F50A8C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41267D6" w14:textId="77777777" w:rsidR="0087514A" w:rsidRDefault="0087514A" w:rsidP="00F50A8C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12660EB" w14:textId="77777777" w:rsidR="0087514A" w:rsidRDefault="0087514A" w:rsidP="00F50A8C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  <w:p w14:paraId="186111F5" w14:textId="77777777" w:rsidR="0087514A" w:rsidRPr="00EF6F4C" w:rsidRDefault="0087514A" w:rsidP="00F50A8C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6" w:type="dxa"/>
          </w:tcPr>
          <w:p w14:paraId="5EFA9DC6" w14:textId="77777777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14:paraId="4F83907E" w14:textId="77777777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514A" w:rsidRPr="00EF6F4C" w14:paraId="77B2D7C7" w14:textId="77777777" w:rsidTr="00F50A8C">
        <w:tc>
          <w:tcPr>
            <w:tcW w:w="2407" w:type="dxa"/>
          </w:tcPr>
          <w:p w14:paraId="5F83221C" w14:textId="5BD34E4B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C. </w:t>
            </w:r>
            <w:r w:rsidR="00FB72B7">
              <w:rPr>
                <w:rFonts w:ascii="Arial" w:hAnsi="Arial" w:cs="Arial"/>
                <w:b/>
                <w:sz w:val="16"/>
                <w:szCs w:val="16"/>
              </w:rPr>
              <w:t>María Olga García Ayala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EF6F4C">
              <w:rPr>
                <w:rFonts w:ascii="Arial" w:hAnsi="Arial" w:cs="Arial"/>
                <w:sz w:val="16"/>
                <w:szCs w:val="16"/>
              </w:rPr>
              <w:t>Regidor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EF6F4C">
              <w:rPr>
                <w:rFonts w:ascii="Arial" w:hAnsi="Arial" w:cs="Arial"/>
                <w:sz w:val="16"/>
                <w:szCs w:val="16"/>
              </w:rPr>
              <w:t xml:space="preserve"> Vocal</w:t>
            </w:r>
            <w:r w:rsidRPr="00EF6F4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EF6F4C">
              <w:rPr>
                <w:rFonts w:ascii="Arial" w:hAnsi="Arial" w:cs="Arial"/>
                <w:sz w:val="16"/>
                <w:szCs w:val="16"/>
              </w:rPr>
              <w:t xml:space="preserve">de la Comisión </w:t>
            </w:r>
            <w:proofErr w:type="gramStart"/>
            <w:r w:rsidRPr="00EF6F4C"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 w:rsidRPr="00EF6F4C">
              <w:rPr>
                <w:rFonts w:ascii="Arial" w:hAnsi="Arial" w:cs="Arial"/>
                <w:sz w:val="16"/>
                <w:szCs w:val="16"/>
              </w:rPr>
              <w:t xml:space="preserve"> Permanente de </w:t>
            </w:r>
            <w:r w:rsidR="00FB72B7">
              <w:rPr>
                <w:rFonts w:ascii="Arial" w:hAnsi="Arial" w:cs="Arial"/>
                <w:sz w:val="16"/>
                <w:szCs w:val="16"/>
              </w:rPr>
              <w:t>Reglamentos y Gobernación</w:t>
            </w:r>
          </w:p>
        </w:tc>
        <w:tc>
          <w:tcPr>
            <w:tcW w:w="2406" w:type="dxa"/>
          </w:tcPr>
          <w:p w14:paraId="0AE24D0A" w14:textId="77777777" w:rsidR="0087514A" w:rsidRDefault="0087514A" w:rsidP="00F50A8C">
            <w:pPr>
              <w:ind w:right="-22"/>
              <w:rPr>
                <w:rFonts w:ascii="Arial" w:hAnsi="Arial" w:cs="Arial"/>
                <w:sz w:val="16"/>
                <w:szCs w:val="16"/>
              </w:rPr>
            </w:pPr>
          </w:p>
          <w:p w14:paraId="26B237CD" w14:textId="77777777" w:rsidR="0087514A" w:rsidRPr="00EF6F4C" w:rsidRDefault="0087514A" w:rsidP="00F50A8C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406" w:type="dxa"/>
          </w:tcPr>
          <w:p w14:paraId="1E136BAC" w14:textId="77777777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14:paraId="6A1661CD" w14:textId="77777777" w:rsidR="0087514A" w:rsidRPr="00EF6F4C" w:rsidRDefault="0087514A" w:rsidP="00F50A8C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6284E3" w14:textId="77777777" w:rsidR="00FB72B7" w:rsidRDefault="00FB72B7" w:rsidP="00D81F9A">
      <w:pPr>
        <w:jc w:val="both"/>
        <w:rPr>
          <w:rFonts w:ascii="Arial" w:hAnsi="Arial" w:cs="Arial"/>
          <w:b/>
          <w:bCs/>
        </w:rPr>
      </w:pPr>
    </w:p>
    <w:p w14:paraId="5DD29418" w14:textId="709C1F1D" w:rsidR="00E067D6" w:rsidRPr="00D81F9A" w:rsidRDefault="009919C7" w:rsidP="00D81F9A">
      <w:pPr>
        <w:jc w:val="both"/>
        <w:rPr>
          <w:rFonts w:ascii="Arial" w:hAnsi="Arial" w:cs="Arial"/>
          <w:sz w:val="16"/>
          <w:szCs w:val="16"/>
        </w:rPr>
      </w:pPr>
      <w:r w:rsidRPr="00863BFB">
        <w:rPr>
          <w:rFonts w:ascii="Arial" w:hAnsi="Arial" w:cs="Arial"/>
          <w:b/>
          <w:bCs/>
        </w:rPr>
        <w:t>*</w:t>
      </w:r>
      <w:r>
        <w:rPr>
          <w:rFonts w:ascii="Arial" w:hAnsi="Arial" w:cs="Arial"/>
          <w:b/>
          <w:bCs/>
          <w:sz w:val="16"/>
          <w:szCs w:val="16"/>
        </w:rPr>
        <w:t>MM</w:t>
      </w:r>
      <w:r>
        <w:rPr>
          <w:rFonts w:ascii="Arial" w:hAnsi="Arial" w:cs="Arial"/>
          <w:sz w:val="16"/>
          <w:szCs w:val="16"/>
        </w:rPr>
        <w:t>/</w:t>
      </w:r>
      <w:proofErr w:type="spellStart"/>
      <w:r w:rsidR="00FB72B7">
        <w:rPr>
          <w:rFonts w:ascii="Arial" w:hAnsi="Arial" w:cs="Arial"/>
          <w:sz w:val="16"/>
          <w:szCs w:val="16"/>
        </w:rPr>
        <w:t>plhc</w:t>
      </w:r>
      <w:proofErr w:type="spellEnd"/>
    </w:p>
    <w:sectPr w:rsidR="00E067D6" w:rsidRPr="00D81F9A" w:rsidSect="00FB72B7">
      <w:headerReference w:type="default" r:id="rId7"/>
      <w:pgSz w:w="12240" w:h="15840"/>
      <w:pgMar w:top="1134" w:right="902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87EE5" w14:textId="77777777" w:rsidR="00544BF0" w:rsidRDefault="00544BF0" w:rsidP="00D81F9A">
      <w:pPr>
        <w:spacing w:after="0" w:line="240" w:lineRule="auto"/>
      </w:pPr>
      <w:r>
        <w:separator/>
      </w:r>
    </w:p>
  </w:endnote>
  <w:endnote w:type="continuationSeparator" w:id="0">
    <w:p w14:paraId="3AAF04D6" w14:textId="77777777" w:rsidR="00544BF0" w:rsidRDefault="00544BF0" w:rsidP="00D81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62845" w14:textId="77777777" w:rsidR="00544BF0" w:rsidRDefault="00544BF0" w:rsidP="00D81F9A">
      <w:pPr>
        <w:spacing w:after="0" w:line="240" w:lineRule="auto"/>
      </w:pPr>
      <w:r>
        <w:separator/>
      </w:r>
    </w:p>
  </w:footnote>
  <w:footnote w:type="continuationSeparator" w:id="0">
    <w:p w14:paraId="5730E34C" w14:textId="77777777" w:rsidR="00544BF0" w:rsidRDefault="00544BF0" w:rsidP="00D81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1E4E8" w14:textId="77777777" w:rsidR="00000000" w:rsidRDefault="00000000">
    <w:pPr>
      <w:pStyle w:val="Encabezado"/>
    </w:pPr>
    <w:r>
      <w:rPr>
        <w:noProof/>
      </w:rPr>
      <w:pict w14:anchorId="462D9B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5pt;margin-top:-61.35pt;width:612.35pt;height:679.15pt;z-index:-251658240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  <w:r w:rsidR="003E094F">
      <w:rPr>
        <w:noProof/>
        <w:lang w:eastAsia="es-MX"/>
      </w:rPr>
      <w:drawing>
        <wp:anchor distT="0" distB="0" distL="114300" distR="114300" simplePos="0" relativeHeight="251657216" behindDoc="1" locked="0" layoutInCell="0" allowOverlap="1" wp14:anchorId="5EBAC8EA" wp14:editId="3EBA9D43">
          <wp:simplePos x="0" y="0"/>
          <wp:positionH relativeFrom="page">
            <wp:posOffset>-262052</wp:posOffset>
          </wp:positionH>
          <wp:positionV relativeFrom="page">
            <wp:posOffset>1546617</wp:posOffset>
          </wp:positionV>
          <wp:extent cx="8428314" cy="8729676"/>
          <wp:effectExtent l="0" t="0" r="0" b="0"/>
          <wp:wrapNone/>
          <wp:docPr id="11" name="Imagen 11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8314" cy="87296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229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9C7"/>
    <w:rsid w:val="000D09F8"/>
    <w:rsid w:val="002B4721"/>
    <w:rsid w:val="002E0A14"/>
    <w:rsid w:val="003E094F"/>
    <w:rsid w:val="00544BF0"/>
    <w:rsid w:val="006F0B41"/>
    <w:rsid w:val="00706390"/>
    <w:rsid w:val="007A192F"/>
    <w:rsid w:val="0087514A"/>
    <w:rsid w:val="00934170"/>
    <w:rsid w:val="009919C7"/>
    <w:rsid w:val="00B75D8C"/>
    <w:rsid w:val="00D81F9A"/>
    <w:rsid w:val="00E067D6"/>
    <w:rsid w:val="00FB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DE8D0F"/>
  <w15:chartTrackingRefBased/>
  <w15:docId w15:val="{5F76162A-D595-4486-9F38-7CCE9876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1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91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919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9C7"/>
  </w:style>
  <w:style w:type="paragraph" w:styleId="Sinespaciado">
    <w:name w:val="No Spacing"/>
    <w:link w:val="SinespaciadoCar"/>
    <w:uiPriority w:val="1"/>
    <w:qFormat/>
    <w:rsid w:val="009919C7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919C7"/>
    <w:rPr>
      <w:rFonts w:eastAsiaTheme="minorEastAsia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D81F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F9A"/>
  </w:style>
  <w:style w:type="paragraph" w:styleId="Prrafodelista">
    <w:name w:val="List Paragraph"/>
    <w:basedOn w:val="Normal"/>
    <w:uiPriority w:val="34"/>
    <w:qFormat/>
    <w:rsid w:val="00FB72B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gabypa1975@gmail.com</dc:creator>
  <cp:keywords/>
  <dc:description/>
  <cp:lastModifiedBy>Paulina Lizzete Hernandez Chavez</cp:lastModifiedBy>
  <cp:revision>2</cp:revision>
  <dcterms:created xsi:type="dcterms:W3CDTF">2026-07-07T16:45:00Z</dcterms:created>
  <dcterms:modified xsi:type="dcterms:W3CDTF">2026-07-07T16:45:00Z</dcterms:modified>
</cp:coreProperties>
</file>