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F988B" w14:textId="77777777" w:rsidR="004857D5" w:rsidRDefault="004857D5"/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9919C7" w14:paraId="5D0D6931" w14:textId="77777777" w:rsidTr="00021CEA">
        <w:tc>
          <w:tcPr>
            <w:tcW w:w="9634" w:type="dxa"/>
          </w:tcPr>
          <w:p w14:paraId="031BD029" w14:textId="2B776729" w:rsidR="004857D5" w:rsidRPr="004857D5" w:rsidRDefault="00252560" w:rsidP="004857D5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 xml:space="preserve">TERCERA </w:t>
            </w:r>
            <w:r w:rsidR="009919C7" w:rsidRPr="00774098">
              <w:rPr>
                <w:rFonts w:eastAsia="Calibri"/>
                <w:b/>
                <w:bCs/>
                <w:sz w:val="28"/>
                <w:szCs w:val="28"/>
              </w:rPr>
              <w:t xml:space="preserve">SESIÓN </w:t>
            </w:r>
            <w:r w:rsidR="00A77127">
              <w:rPr>
                <w:rFonts w:eastAsia="Calibri"/>
                <w:b/>
                <w:bCs/>
                <w:sz w:val="28"/>
                <w:szCs w:val="28"/>
              </w:rPr>
              <w:t>EXTRA</w:t>
            </w:r>
            <w:r w:rsidR="009919C7" w:rsidRPr="00774098">
              <w:rPr>
                <w:rFonts w:eastAsia="Calibri"/>
                <w:b/>
                <w:bCs/>
                <w:sz w:val="28"/>
                <w:szCs w:val="28"/>
              </w:rPr>
              <w:t xml:space="preserve">ORDINARIA DE LA COMISIÓN EDILICIA PERMANENTE </w:t>
            </w:r>
            <w:r>
              <w:rPr>
                <w:rFonts w:eastAsia="Calibri"/>
                <w:b/>
                <w:bCs/>
                <w:sz w:val="28"/>
                <w:szCs w:val="28"/>
              </w:rPr>
              <w:t xml:space="preserve">    </w:t>
            </w:r>
            <w:r w:rsidR="009919C7" w:rsidRPr="00774098">
              <w:rPr>
                <w:rFonts w:eastAsia="Calibri"/>
                <w:b/>
                <w:bCs/>
                <w:sz w:val="28"/>
                <w:szCs w:val="28"/>
              </w:rPr>
              <w:t xml:space="preserve">DE </w:t>
            </w:r>
            <w:r w:rsidR="009919C7">
              <w:rPr>
                <w:rFonts w:eastAsia="Calibri"/>
                <w:b/>
                <w:bCs/>
                <w:sz w:val="28"/>
                <w:szCs w:val="28"/>
              </w:rPr>
              <w:t>HACIENDA</w:t>
            </w:r>
            <w:r w:rsidR="009919C7" w:rsidRPr="00774098">
              <w:rPr>
                <w:rFonts w:eastAsia="Calibri"/>
                <w:b/>
                <w:bCs/>
                <w:sz w:val="28"/>
                <w:szCs w:val="28"/>
              </w:rPr>
              <w:t xml:space="preserve"> PÚBLICA Y </w:t>
            </w:r>
            <w:r w:rsidR="009919C7">
              <w:rPr>
                <w:rFonts w:eastAsia="Calibri"/>
                <w:b/>
                <w:bCs/>
                <w:sz w:val="28"/>
                <w:szCs w:val="28"/>
              </w:rPr>
              <w:t>PATRIMONIO MUNICIPAL</w:t>
            </w:r>
          </w:p>
        </w:tc>
      </w:tr>
    </w:tbl>
    <w:p w14:paraId="668974C3" w14:textId="77777777" w:rsidR="009919C7" w:rsidRDefault="009919C7" w:rsidP="009919C7"/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9919C7" w14:paraId="430167FC" w14:textId="77777777" w:rsidTr="00021CEA">
        <w:tc>
          <w:tcPr>
            <w:tcW w:w="9634" w:type="dxa"/>
          </w:tcPr>
          <w:p w14:paraId="42514644" w14:textId="77777777" w:rsidR="009919C7" w:rsidRPr="005C3319" w:rsidRDefault="009919C7" w:rsidP="00021CE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C3319">
              <w:rPr>
                <w:rFonts w:ascii="Arial" w:hAnsi="Arial" w:cs="Arial"/>
                <w:b/>
                <w:bCs/>
                <w:sz w:val="24"/>
                <w:szCs w:val="24"/>
              </w:rPr>
              <w:t>SENTIDO DEL VOTO.</w:t>
            </w:r>
          </w:p>
        </w:tc>
      </w:tr>
    </w:tbl>
    <w:p w14:paraId="27FEFAC0" w14:textId="77777777" w:rsidR="00A77127" w:rsidRDefault="00A77127" w:rsidP="00A77127">
      <w:pPr>
        <w:spacing w:after="0" w:line="20" w:lineRule="atLeast"/>
        <w:jc w:val="both"/>
      </w:pPr>
    </w:p>
    <w:p w14:paraId="7BE6672C" w14:textId="77777777" w:rsidR="00A77127" w:rsidRDefault="00A77127" w:rsidP="00A77127">
      <w:pPr>
        <w:spacing w:after="0" w:line="20" w:lineRule="atLeast"/>
        <w:jc w:val="both"/>
      </w:pPr>
    </w:p>
    <w:p w14:paraId="769D45B1" w14:textId="77777777" w:rsidR="00252560" w:rsidRDefault="00252560" w:rsidP="00252560">
      <w:pPr>
        <w:pStyle w:val="Prrafodelista"/>
        <w:numPr>
          <w:ilvl w:val="0"/>
          <w:numId w:val="1"/>
        </w:numPr>
        <w:spacing w:after="0" w:line="20" w:lineRule="atLeast"/>
        <w:jc w:val="both"/>
        <w:rPr>
          <w:rFonts w:ascii="Arial" w:hAnsi="Arial" w:cs="Arial"/>
          <w:sz w:val="24"/>
          <w:szCs w:val="28"/>
        </w:rPr>
      </w:pPr>
      <w:r w:rsidRPr="005C2999">
        <w:rPr>
          <w:rFonts w:ascii="Arial" w:hAnsi="Arial" w:cs="Arial"/>
          <w:sz w:val="24"/>
          <w:szCs w:val="28"/>
        </w:rPr>
        <w:t>Estudio, análisis y en su caso</w:t>
      </w:r>
      <w:r>
        <w:rPr>
          <w:rFonts w:ascii="Arial" w:hAnsi="Arial" w:cs="Arial"/>
          <w:sz w:val="24"/>
          <w:szCs w:val="28"/>
        </w:rPr>
        <w:t xml:space="preserve"> dictaminación respecto de la recepción de ingreso en el Rubro de Derechos en la cuenta de Concesión de Estacionometros para la Asistencia Social del Municipio de Zapotlán el Grande, Jalisco y su correspondiente asignación.</w:t>
      </w:r>
      <w:r w:rsidRPr="005C2999">
        <w:rPr>
          <w:rFonts w:ascii="Arial" w:hAnsi="Arial" w:cs="Arial"/>
          <w:sz w:val="24"/>
          <w:szCs w:val="28"/>
        </w:rPr>
        <w:t xml:space="preserve"> </w:t>
      </w:r>
    </w:p>
    <w:p w14:paraId="120DB8B5" w14:textId="77777777" w:rsidR="004857D5" w:rsidRPr="004857D5" w:rsidRDefault="004857D5" w:rsidP="004857D5">
      <w:pPr>
        <w:spacing w:after="0" w:line="20" w:lineRule="atLeast"/>
        <w:jc w:val="both"/>
        <w:rPr>
          <w:rFonts w:ascii="Arial" w:hAnsi="Arial" w:cs="Arial"/>
          <w:sz w:val="24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7"/>
        <w:gridCol w:w="2406"/>
        <w:gridCol w:w="2406"/>
        <w:gridCol w:w="2408"/>
      </w:tblGrid>
      <w:tr w:rsidR="009919C7" w:rsidRPr="00EF6F4C" w14:paraId="22487664" w14:textId="77777777" w:rsidTr="004857D5">
        <w:tc>
          <w:tcPr>
            <w:tcW w:w="2407" w:type="dxa"/>
          </w:tcPr>
          <w:p w14:paraId="3373BF3D" w14:textId="77777777" w:rsidR="009919C7" w:rsidRPr="00EF6F4C" w:rsidRDefault="009919C7" w:rsidP="00021CEA">
            <w:pPr>
              <w:ind w:right="-2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F6F4C">
              <w:rPr>
                <w:rFonts w:ascii="Arial" w:hAnsi="Arial" w:cs="Arial"/>
                <w:sz w:val="16"/>
                <w:szCs w:val="16"/>
              </w:rPr>
              <w:t>Regidor</w:t>
            </w:r>
          </w:p>
        </w:tc>
        <w:tc>
          <w:tcPr>
            <w:tcW w:w="2406" w:type="dxa"/>
          </w:tcPr>
          <w:p w14:paraId="7A7C4592" w14:textId="77777777" w:rsidR="009919C7" w:rsidRPr="00EF6F4C" w:rsidRDefault="009919C7" w:rsidP="00021CEA">
            <w:pPr>
              <w:ind w:right="-2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F6F4C">
              <w:rPr>
                <w:rFonts w:ascii="Arial" w:hAnsi="Arial" w:cs="Arial"/>
                <w:sz w:val="16"/>
                <w:szCs w:val="16"/>
              </w:rPr>
              <w:t>A favor</w:t>
            </w:r>
          </w:p>
        </w:tc>
        <w:tc>
          <w:tcPr>
            <w:tcW w:w="2406" w:type="dxa"/>
          </w:tcPr>
          <w:p w14:paraId="0C85FE02" w14:textId="77777777" w:rsidR="009919C7" w:rsidRPr="00EF6F4C" w:rsidRDefault="009919C7" w:rsidP="00021CEA">
            <w:pPr>
              <w:ind w:right="-2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F6F4C">
              <w:rPr>
                <w:rFonts w:ascii="Arial" w:hAnsi="Arial" w:cs="Arial"/>
                <w:sz w:val="16"/>
                <w:szCs w:val="16"/>
              </w:rPr>
              <w:t>En contra</w:t>
            </w:r>
          </w:p>
        </w:tc>
        <w:tc>
          <w:tcPr>
            <w:tcW w:w="2408" w:type="dxa"/>
          </w:tcPr>
          <w:p w14:paraId="0B6E51E5" w14:textId="77777777" w:rsidR="009919C7" w:rsidRPr="00EF6F4C" w:rsidRDefault="009919C7" w:rsidP="00021CEA">
            <w:pPr>
              <w:ind w:right="-2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F6F4C">
              <w:rPr>
                <w:rFonts w:ascii="Arial" w:hAnsi="Arial" w:cs="Arial"/>
                <w:sz w:val="16"/>
                <w:szCs w:val="16"/>
              </w:rPr>
              <w:t xml:space="preserve">En abstención. </w:t>
            </w:r>
          </w:p>
        </w:tc>
      </w:tr>
      <w:tr w:rsidR="004857D5" w:rsidRPr="00EF6F4C" w14:paraId="7AF7FF52" w14:textId="77777777" w:rsidTr="004857D5">
        <w:tc>
          <w:tcPr>
            <w:tcW w:w="2407" w:type="dxa"/>
          </w:tcPr>
          <w:p w14:paraId="50F296A5" w14:textId="77777777" w:rsidR="004857D5" w:rsidRPr="00C76A59" w:rsidRDefault="004857D5" w:rsidP="004857D5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419"/>
              </w:rPr>
            </w:pPr>
            <w:r w:rsidRPr="00C76A59">
              <w:rPr>
                <w:rFonts w:ascii="Arial" w:hAnsi="Arial" w:cs="Arial"/>
                <w:b/>
                <w:sz w:val="18"/>
                <w:szCs w:val="18"/>
                <w:lang w:val="es-419"/>
              </w:rPr>
              <w:t xml:space="preserve">C. </w:t>
            </w:r>
            <w:r>
              <w:rPr>
                <w:rFonts w:ascii="Arial" w:hAnsi="Arial" w:cs="Arial"/>
                <w:b/>
                <w:sz w:val="18"/>
                <w:szCs w:val="18"/>
                <w:lang w:val="es-419"/>
              </w:rPr>
              <w:t>MIRIAM SALOME TORRES LARES</w:t>
            </w:r>
          </w:p>
          <w:p w14:paraId="058A1A40" w14:textId="77777777" w:rsidR="004857D5" w:rsidRPr="00C76A59" w:rsidRDefault="004857D5" w:rsidP="004857D5">
            <w:pPr>
              <w:jc w:val="both"/>
              <w:rPr>
                <w:rFonts w:ascii="Arial" w:hAnsi="Arial" w:cs="Arial"/>
                <w:sz w:val="18"/>
                <w:szCs w:val="18"/>
                <w:lang w:val="es-419"/>
              </w:rPr>
            </w:pPr>
            <w:r w:rsidRPr="00C76A59">
              <w:rPr>
                <w:rFonts w:ascii="Arial" w:hAnsi="Arial" w:cs="Arial"/>
                <w:sz w:val="18"/>
                <w:szCs w:val="18"/>
                <w:lang w:val="es-419"/>
              </w:rPr>
              <w:t>Regidor</w:t>
            </w:r>
            <w:r>
              <w:rPr>
                <w:rFonts w:ascii="Arial" w:hAnsi="Arial" w:cs="Arial"/>
                <w:sz w:val="18"/>
                <w:szCs w:val="18"/>
                <w:lang w:val="es-419"/>
              </w:rPr>
              <w:t>a</w:t>
            </w:r>
            <w:r w:rsidRPr="00C76A59">
              <w:rPr>
                <w:rFonts w:ascii="Arial" w:hAnsi="Arial" w:cs="Arial"/>
                <w:sz w:val="18"/>
                <w:szCs w:val="18"/>
                <w:lang w:val="es-419"/>
              </w:rPr>
              <w:t xml:space="preserve"> President</w:t>
            </w:r>
            <w:r>
              <w:rPr>
                <w:rFonts w:ascii="Arial" w:hAnsi="Arial" w:cs="Arial"/>
                <w:sz w:val="18"/>
                <w:szCs w:val="18"/>
                <w:lang w:val="es-419"/>
              </w:rPr>
              <w:t>a</w:t>
            </w:r>
            <w:r w:rsidRPr="00C76A59">
              <w:rPr>
                <w:rFonts w:ascii="Arial" w:hAnsi="Arial" w:cs="Arial"/>
                <w:sz w:val="18"/>
                <w:szCs w:val="18"/>
                <w:lang w:val="es-419"/>
              </w:rPr>
              <w:t xml:space="preserve"> de la Comisión Edilicia Permanente de Hacienda Pública y Patrimonio Municipal</w:t>
            </w:r>
          </w:p>
        </w:tc>
        <w:tc>
          <w:tcPr>
            <w:tcW w:w="2406" w:type="dxa"/>
          </w:tcPr>
          <w:p w14:paraId="1E1DC8B7" w14:textId="77777777" w:rsidR="004857D5" w:rsidRDefault="004857D5" w:rsidP="004857D5">
            <w:pPr>
              <w:ind w:right="-22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7A9E88C" w14:textId="77777777" w:rsidR="004857D5" w:rsidRDefault="004857D5" w:rsidP="004857D5">
            <w:pPr>
              <w:ind w:right="-22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C4B3B6B" w14:textId="77777777" w:rsidR="004857D5" w:rsidRDefault="004857D5" w:rsidP="004857D5">
            <w:pPr>
              <w:ind w:right="-22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D335BBF" w14:textId="77777777" w:rsidR="004857D5" w:rsidRPr="00EF6F4C" w:rsidRDefault="004857D5" w:rsidP="004857D5">
            <w:pPr>
              <w:ind w:right="-2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2406" w:type="dxa"/>
          </w:tcPr>
          <w:p w14:paraId="3653B376" w14:textId="77777777" w:rsidR="004857D5" w:rsidRPr="00EF6F4C" w:rsidRDefault="004857D5" w:rsidP="004857D5">
            <w:pPr>
              <w:ind w:right="-2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8" w:type="dxa"/>
          </w:tcPr>
          <w:p w14:paraId="4418801F" w14:textId="77777777" w:rsidR="004857D5" w:rsidRPr="00EF6F4C" w:rsidRDefault="004857D5" w:rsidP="004857D5">
            <w:pPr>
              <w:ind w:right="-2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857D5" w:rsidRPr="00EF6F4C" w14:paraId="7D2F0DE8" w14:textId="77777777" w:rsidTr="004857D5">
        <w:tc>
          <w:tcPr>
            <w:tcW w:w="2407" w:type="dxa"/>
          </w:tcPr>
          <w:p w14:paraId="170AF9BB" w14:textId="77777777" w:rsidR="004857D5" w:rsidRPr="00C76A59" w:rsidRDefault="004857D5" w:rsidP="004857D5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419"/>
              </w:rPr>
            </w:pPr>
            <w:r w:rsidRPr="00C76A59">
              <w:rPr>
                <w:rFonts w:ascii="Arial" w:hAnsi="Arial" w:cs="Arial"/>
                <w:b/>
                <w:sz w:val="18"/>
                <w:szCs w:val="18"/>
                <w:lang w:val="es-419"/>
              </w:rPr>
              <w:t xml:space="preserve">C. </w:t>
            </w:r>
            <w:r>
              <w:rPr>
                <w:rFonts w:ascii="Arial" w:hAnsi="Arial" w:cs="Arial"/>
                <w:b/>
                <w:sz w:val="18"/>
                <w:szCs w:val="18"/>
                <w:lang w:val="es-419"/>
              </w:rPr>
              <w:t>CLAUDIA MARGARITA ROBLES GÓMEZ</w:t>
            </w:r>
            <w:r w:rsidRPr="00C76A59">
              <w:rPr>
                <w:rFonts w:ascii="Arial" w:hAnsi="Arial" w:cs="Arial"/>
                <w:b/>
                <w:sz w:val="18"/>
                <w:szCs w:val="18"/>
                <w:lang w:val="es-419"/>
              </w:rPr>
              <w:t xml:space="preserve"> </w:t>
            </w:r>
          </w:p>
          <w:p w14:paraId="1B1B480A" w14:textId="77777777" w:rsidR="004857D5" w:rsidRPr="00C744EE" w:rsidRDefault="004857D5" w:rsidP="004857D5">
            <w:pPr>
              <w:jc w:val="both"/>
              <w:rPr>
                <w:rFonts w:ascii="Arial" w:hAnsi="Arial" w:cs="Arial"/>
                <w:sz w:val="18"/>
                <w:szCs w:val="18"/>
                <w:lang w:val="es-419"/>
              </w:rPr>
            </w:pPr>
            <w:r>
              <w:rPr>
                <w:rFonts w:ascii="Arial" w:hAnsi="Arial" w:cs="Arial"/>
                <w:sz w:val="18"/>
                <w:szCs w:val="18"/>
                <w:lang w:val="es-419"/>
              </w:rPr>
              <w:t>Síndica Municipal y</w:t>
            </w:r>
            <w:r w:rsidRPr="00C76A59">
              <w:rPr>
                <w:rFonts w:ascii="Arial" w:hAnsi="Arial" w:cs="Arial"/>
                <w:sz w:val="18"/>
                <w:szCs w:val="18"/>
                <w:lang w:val="es-419"/>
              </w:rPr>
              <w:t xml:space="preserve"> Vocal de la Comisión Edilicia Permanente de Hacienda Pública y Patrimonio Municipal</w:t>
            </w:r>
          </w:p>
        </w:tc>
        <w:tc>
          <w:tcPr>
            <w:tcW w:w="2406" w:type="dxa"/>
          </w:tcPr>
          <w:p w14:paraId="00A75797" w14:textId="77777777" w:rsidR="004857D5" w:rsidRDefault="004857D5" w:rsidP="004857D5">
            <w:pPr>
              <w:ind w:right="-22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ED7F8EC" w14:textId="77777777" w:rsidR="004857D5" w:rsidRDefault="004857D5" w:rsidP="004857D5">
            <w:pPr>
              <w:ind w:right="-22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E755100" w14:textId="77777777" w:rsidR="004857D5" w:rsidRDefault="004857D5" w:rsidP="004857D5">
            <w:pPr>
              <w:ind w:right="-22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5B1351E" w14:textId="77777777" w:rsidR="004857D5" w:rsidRPr="00EF6F4C" w:rsidRDefault="00A77127" w:rsidP="004857D5">
            <w:pPr>
              <w:ind w:right="-2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2406" w:type="dxa"/>
          </w:tcPr>
          <w:p w14:paraId="5A4FA65D" w14:textId="77777777" w:rsidR="004857D5" w:rsidRPr="00EF6F4C" w:rsidRDefault="004857D5" w:rsidP="004857D5">
            <w:pPr>
              <w:ind w:right="-2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8" w:type="dxa"/>
          </w:tcPr>
          <w:p w14:paraId="3CAE1381" w14:textId="77777777" w:rsidR="004857D5" w:rsidRPr="00EF6F4C" w:rsidRDefault="004857D5" w:rsidP="004857D5">
            <w:pPr>
              <w:ind w:right="-2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857D5" w:rsidRPr="00EF6F4C" w14:paraId="118F15F9" w14:textId="77777777" w:rsidTr="004857D5">
        <w:tc>
          <w:tcPr>
            <w:tcW w:w="2407" w:type="dxa"/>
          </w:tcPr>
          <w:p w14:paraId="11357984" w14:textId="77777777" w:rsidR="004857D5" w:rsidRPr="00C76A59" w:rsidRDefault="004857D5" w:rsidP="004857D5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419"/>
              </w:rPr>
            </w:pPr>
            <w:r w:rsidRPr="00C76A59">
              <w:rPr>
                <w:rFonts w:ascii="Arial" w:hAnsi="Arial" w:cs="Arial"/>
                <w:b/>
                <w:sz w:val="18"/>
                <w:szCs w:val="18"/>
                <w:lang w:val="es-419"/>
              </w:rPr>
              <w:t xml:space="preserve">C. </w:t>
            </w:r>
            <w:r>
              <w:rPr>
                <w:rFonts w:ascii="Arial" w:hAnsi="Arial" w:cs="Arial"/>
                <w:b/>
                <w:sz w:val="18"/>
                <w:szCs w:val="18"/>
                <w:lang w:val="es-419"/>
              </w:rPr>
              <w:t>MIGUEL MARENTES</w:t>
            </w:r>
          </w:p>
          <w:p w14:paraId="4B8376B9" w14:textId="77777777" w:rsidR="004857D5" w:rsidRPr="00C76A59" w:rsidRDefault="004857D5" w:rsidP="004857D5">
            <w:pPr>
              <w:jc w:val="both"/>
              <w:rPr>
                <w:rFonts w:ascii="Arial" w:hAnsi="Arial" w:cs="Arial"/>
                <w:sz w:val="18"/>
                <w:szCs w:val="18"/>
                <w:lang w:val="es-419"/>
              </w:rPr>
            </w:pPr>
            <w:r w:rsidRPr="00C76A59">
              <w:rPr>
                <w:rFonts w:ascii="Arial" w:hAnsi="Arial" w:cs="Arial"/>
                <w:sz w:val="18"/>
                <w:szCs w:val="18"/>
                <w:lang w:val="es-419"/>
              </w:rPr>
              <w:t>Regidor Vocal de la Comisión Edilicia Permanente de Hacienda Pública y Patrimonio Municipal</w:t>
            </w:r>
          </w:p>
        </w:tc>
        <w:tc>
          <w:tcPr>
            <w:tcW w:w="2406" w:type="dxa"/>
          </w:tcPr>
          <w:p w14:paraId="0D6E72C6" w14:textId="77777777" w:rsidR="004857D5" w:rsidRDefault="004857D5" w:rsidP="004857D5">
            <w:pPr>
              <w:ind w:right="-22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135C80E" w14:textId="77777777" w:rsidR="004857D5" w:rsidRDefault="004857D5" w:rsidP="004857D5">
            <w:pPr>
              <w:ind w:right="-22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748AEC7" w14:textId="77777777" w:rsidR="004857D5" w:rsidRDefault="004857D5" w:rsidP="004857D5">
            <w:pPr>
              <w:ind w:right="-22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A66057F" w14:textId="77777777" w:rsidR="004857D5" w:rsidRPr="00EF6F4C" w:rsidRDefault="004857D5" w:rsidP="004857D5">
            <w:pPr>
              <w:ind w:right="-2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2406" w:type="dxa"/>
          </w:tcPr>
          <w:p w14:paraId="66EDC6FB" w14:textId="77777777" w:rsidR="004857D5" w:rsidRPr="00EF6F4C" w:rsidRDefault="004857D5" w:rsidP="004857D5">
            <w:pPr>
              <w:ind w:right="-2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8" w:type="dxa"/>
          </w:tcPr>
          <w:p w14:paraId="4AF76FF6" w14:textId="77777777" w:rsidR="004857D5" w:rsidRPr="00EF6F4C" w:rsidRDefault="004857D5" w:rsidP="004857D5">
            <w:pPr>
              <w:ind w:right="-2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857D5" w:rsidRPr="00EF6F4C" w14:paraId="2210BBE3" w14:textId="77777777" w:rsidTr="004857D5">
        <w:tc>
          <w:tcPr>
            <w:tcW w:w="2407" w:type="dxa"/>
          </w:tcPr>
          <w:p w14:paraId="394AB09F" w14:textId="77777777" w:rsidR="004857D5" w:rsidRPr="00C76A59" w:rsidRDefault="004857D5" w:rsidP="004857D5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419"/>
              </w:rPr>
            </w:pPr>
            <w:r w:rsidRPr="00C76A59">
              <w:rPr>
                <w:rFonts w:ascii="Arial" w:hAnsi="Arial" w:cs="Arial"/>
                <w:b/>
                <w:sz w:val="18"/>
                <w:szCs w:val="18"/>
                <w:lang w:val="es-419"/>
              </w:rPr>
              <w:t xml:space="preserve">C. </w:t>
            </w:r>
            <w:r>
              <w:rPr>
                <w:rFonts w:ascii="Arial" w:hAnsi="Arial" w:cs="Arial"/>
                <w:b/>
                <w:sz w:val="18"/>
                <w:szCs w:val="18"/>
                <w:lang w:val="es-419"/>
              </w:rPr>
              <w:t>GUSTAVO LÓPEZ SANDOVAL</w:t>
            </w:r>
          </w:p>
          <w:p w14:paraId="0166A253" w14:textId="77777777" w:rsidR="004857D5" w:rsidRPr="00C76A59" w:rsidRDefault="004857D5" w:rsidP="004857D5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419"/>
              </w:rPr>
            </w:pPr>
            <w:r w:rsidRPr="00C76A59">
              <w:rPr>
                <w:rFonts w:ascii="Arial" w:hAnsi="Arial" w:cs="Arial"/>
                <w:sz w:val="18"/>
                <w:szCs w:val="18"/>
                <w:lang w:val="es-419"/>
              </w:rPr>
              <w:t>Regidor Vocal de la Comisión Edilicia Permanente de Hacienda Pública y Patrimonio Municipal</w:t>
            </w:r>
          </w:p>
        </w:tc>
        <w:tc>
          <w:tcPr>
            <w:tcW w:w="2406" w:type="dxa"/>
          </w:tcPr>
          <w:p w14:paraId="36F33602" w14:textId="77777777" w:rsidR="004857D5" w:rsidRDefault="004857D5" w:rsidP="004857D5">
            <w:pPr>
              <w:ind w:right="-22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C393032" w14:textId="77777777" w:rsidR="00252560" w:rsidRDefault="00252560" w:rsidP="004857D5">
            <w:pPr>
              <w:ind w:right="-22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C106F68" w14:textId="77777777" w:rsidR="00252560" w:rsidRDefault="00252560" w:rsidP="004857D5">
            <w:pPr>
              <w:ind w:right="-22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96E0678" w14:textId="40693121" w:rsidR="00252560" w:rsidRDefault="00252560" w:rsidP="004857D5">
            <w:pPr>
              <w:ind w:right="-2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2406" w:type="dxa"/>
          </w:tcPr>
          <w:p w14:paraId="6CFB0BE6" w14:textId="77777777" w:rsidR="004857D5" w:rsidRPr="00EF6F4C" w:rsidRDefault="004857D5" w:rsidP="004857D5">
            <w:pPr>
              <w:ind w:right="-2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8" w:type="dxa"/>
          </w:tcPr>
          <w:p w14:paraId="760467D8" w14:textId="77777777" w:rsidR="004857D5" w:rsidRPr="00EF6F4C" w:rsidRDefault="004857D5" w:rsidP="004857D5">
            <w:pPr>
              <w:ind w:right="-2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857D5" w:rsidRPr="00EF6F4C" w14:paraId="553E61F0" w14:textId="77777777" w:rsidTr="004857D5">
        <w:tc>
          <w:tcPr>
            <w:tcW w:w="2407" w:type="dxa"/>
          </w:tcPr>
          <w:p w14:paraId="7704B506" w14:textId="77777777" w:rsidR="004857D5" w:rsidRPr="00C76A59" w:rsidRDefault="004857D5" w:rsidP="004857D5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419"/>
              </w:rPr>
            </w:pPr>
            <w:r w:rsidRPr="00C76A59">
              <w:rPr>
                <w:rFonts w:ascii="Arial" w:hAnsi="Arial" w:cs="Arial"/>
                <w:b/>
                <w:sz w:val="18"/>
                <w:szCs w:val="18"/>
                <w:lang w:val="es-419"/>
              </w:rPr>
              <w:t xml:space="preserve">C. </w:t>
            </w:r>
            <w:r>
              <w:rPr>
                <w:rFonts w:ascii="Arial" w:hAnsi="Arial" w:cs="Arial"/>
                <w:b/>
                <w:sz w:val="18"/>
                <w:szCs w:val="18"/>
                <w:lang w:val="es-419"/>
              </w:rPr>
              <w:t>JOSÉ BERTÍN CHÁVEZ VARGAS.</w:t>
            </w:r>
          </w:p>
          <w:p w14:paraId="0AA1A4EA" w14:textId="77777777" w:rsidR="004857D5" w:rsidRPr="004857D5" w:rsidRDefault="004857D5" w:rsidP="004857D5">
            <w:pPr>
              <w:jc w:val="both"/>
              <w:rPr>
                <w:rFonts w:ascii="Arial" w:hAnsi="Arial" w:cs="Arial"/>
                <w:sz w:val="18"/>
                <w:szCs w:val="18"/>
                <w:lang w:val="es-419"/>
              </w:rPr>
            </w:pPr>
            <w:r w:rsidRPr="00C76A59">
              <w:rPr>
                <w:rFonts w:ascii="Arial" w:hAnsi="Arial" w:cs="Arial"/>
                <w:sz w:val="18"/>
                <w:szCs w:val="18"/>
                <w:lang w:val="es-419"/>
              </w:rPr>
              <w:t>Regidor Vocal de la Comisión Edilicia Permanente de Hacienda Pública y Patrimonio Municipal</w:t>
            </w:r>
            <w:r>
              <w:rPr>
                <w:rFonts w:ascii="Arial" w:hAnsi="Arial" w:cs="Arial"/>
                <w:sz w:val="18"/>
                <w:szCs w:val="18"/>
                <w:lang w:val="es-419"/>
              </w:rPr>
              <w:t>.</w:t>
            </w:r>
          </w:p>
        </w:tc>
        <w:tc>
          <w:tcPr>
            <w:tcW w:w="2406" w:type="dxa"/>
          </w:tcPr>
          <w:p w14:paraId="764050B0" w14:textId="77777777" w:rsidR="004857D5" w:rsidRDefault="004857D5" w:rsidP="004857D5">
            <w:pPr>
              <w:ind w:right="-22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C646C2C" w14:textId="77777777" w:rsidR="004857D5" w:rsidRDefault="004857D5" w:rsidP="004857D5">
            <w:pPr>
              <w:ind w:right="-22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3968DC1" w14:textId="77777777" w:rsidR="004857D5" w:rsidRDefault="004857D5" w:rsidP="004857D5">
            <w:pPr>
              <w:ind w:right="-2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2406" w:type="dxa"/>
          </w:tcPr>
          <w:p w14:paraId="51C900AD" w14:textId="77777777" w:rsidR="004857D5" w:rsidRPr="00EF6F4C" w:rsidRDefault="004857D5" w:rsidP="004857D5">
            <w:pPr>
              <w:ind w:right="-2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8" w:type="dxa"/>
          </w:tcPr>
          <w:p w14:paraId="272BC557" w14:textId="77777777" w:rsidR="004857D5" w:rsidRPr="00EF6F4C" w:rsidRDefault="004857D5" w:rsidP="004857D5">
            <w:pPr>
              <w:ind w:right="-2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5400B07" w14:textId="77777777" w:rsidR="009919C7" w:rsidRDefault="009919C7" w:rsidP="009919C7">
      <w:pPr>
        <w:ind w:right="-22"/>
        <w:jc w:val="both"/>
        <w:rPr>
          <w:rFonts w:ascii="Arial" w:hAnsi="Arial" w:cs="Arial"/>
          <w:sz w:val="16"/>
          <w:szCs w:val="16"/>
        </w:rPr>
      </w:pPr>
    </w:p>
    <w:p w14:paraId="14F3F964" w14:textId="4774CBFD" w:rsidR="007A192F" w:rsidRPr="004857D5" w:rsidRDefault="004857D5" w:rsidP="004857D5">
      <w:pPr>
        <w:spacing w:before="240"/>
        <w:jc w:val="both"/>
        <w:rPr>
          <w:rFonts w:ascii="Arial" w:hAnsi="Arial" w:cs="Arial"/>
          <w:sz w:val="28"/>
          <w:szCs w:val="28"/>
        </w:rPr>
      </w:pPr>
      <w:r w:rsidRPr="00B85B49">
        <w:rPr>
          <w:rFonts w:ascii="Arial" w:hAnsi="Arial" w:cs="Arial"/>
          <w:sz w:val="28"/>
          <w:szCs w:val="28"/>
        </w:rPr>
        <w:t xml:space="preserve">Aprobado por </w:t>
      </w:r>
      <w:r w:rsidR="00252560">
        <w:rPr>
          <w:rFonts w:ascii="Arial" w:hAnsi="Arial" w:cs="Arial"/>
          <w:b/>
          <w:sz w:val="28"/>
          <w:szCs w:val="28"/>
        </w:rPr>
        <w:t>UNANIMIDAD</w:t>
      </w:r>
      <w:r w:rsidRPr="00B85B49">
        <w:rPr>
          <w:rFonts w:ascii="Arial" w:hAnsi="Arial" w:cs="Arial"/>
          <w:sz w:val="28"/>
          <w:szCs w:val="28"/>
        </w:rPr>
        <w:t>.</w:t>
      </w:r>
    </w:p>
    <w:p w14:paraId="6EB32FBE" w14:textId="77777777" w:rsidR="007A192F" w:rsidRDefault="007A192F" w:rsidP="009919C7">
      <w:pPr>
        <w:jc w:val="both"/>
        <w:rPr>
          <w:rFonts w:ascii="Arial" w:hAnsi="Arial" w:cs="Arial"/>
        </w:rPr>
      </w:pPr>
    </w:p>
    <w:p w14:paraId="6B3B71A0" w14:textId="77777777" w:rsidR="00E067D6" w:rsidRPr="00D81F9A" w:rsidRDefault="009919C7" w:rsidP="00D81F9A">
      <w:pPr>
        <w:jc w:val="both"/>
        <w:rPr>
          <w:rFonts w:ascii="Arial" w:hAnsi="Arial" w:cs="Arial"/>
          <w:sz w:val="16"/>
          <w:szCs w:val="16"/>
        </w:rPr>
      </w:pPr>
      <w:r w:rsidRPr="00863BFB">
        <w:rPr>
          <w:rFonts w:ascii="Arial" w:hAnsi="Arial" w:cs="Arial"/>
          <w:b/>
          <w:bCs/>
        </w:rPr>
        <w:t>*</w:t>
      </w:r>
      <w:r w:rsidR="004857D5">
        <w:rPr>
          <w:rFonts w:ascii="Arial" w:hAnsi="Arial" w:cs="Arial"/>
          <w:b/>
          <w:bCs/>
          <w:sz w:val="16"/>
          <w:szCs w:val="16"/>
        </w:rPr>
        <w:t>MSTL</w:t>
      </w:r>
      <w:r>
        <w:rPr>
          <w:rFonts w:ascii="Arial" w:hAnsi="Arial" w:cs="Arial"/>
          <w:sz w:val="16"/>
          <w:szCs w:val="16"/>
        </w:rPr>
        <w:t>/mgpa. Asesora.</w:t>
      </w:r>
    </w:p>
    <w:sectPr w:rsidR="00E067D6" w:rsidRPr="00D81F9A" w:rsidSect="00D81F9A">
      <w:headerReference w:type="default" r:id="rId7"/>
      <w:pgSz w:w="12240" w:h="15840"/>
      <w:pgMar w:top="1361" w:right="902" w:bottom="155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963BDE" w14:textId="77777777" w:rsidR="00DC0B9F" w:rsidRDefault="00DC0B9F" w:rsidP="00D81F9A">
      <w:pPr>
        <w:spacing w:after="0" w:line="240" w:lineRule="auto"/>
      </w:pPr>
      <w:r>
        <w:separator/>
      </w:r>
    </w:p>
  </w:endnote>
  <w:endnote w:type="continuationSeparator" w:id="0">
    <w:p w14:paraId="526F45C0" w14:textId="77777777" w:rsidR="00DC0B9F" w:rsidRDefault="00DC0B9F" w:rsidP="00D81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05F93" w14:textId="77777777" w:rsidR="00DC0B9F" w:rsidRDefault="00DC0B9F" w:rsidP="00D81F9A">
      <w:pPr>
        <w:spacing w:after="0" w:line="240" w:lineRule="auto"/>
      </w:pPr>
      <w:r>
        <w:separator/>
      </w:r>
    </w:p>
  </w:footnote>
  <w:footnote w:type="continuationSeparator" w:id="0">
    <w:p w14:paraId="3599B4A6" w14:textId="77777777" w:rsidR="00DC0B9F" w:rsidRDefault="00DC0B9F" w:rsidP="00D81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02907" w14:textId="77777777" w:rsidR="004857D5" w:rsidRDefault="004857D5">
    <w:pPr>
      <w:pStyle w:val="Encabezado"/>
    </w:pPr>
  </w:p>
  <w:p w14:paraId="3142AEFC" w14:textId="77777777" w:rsidR="004857D5" w:rsidRDefault="004857D5">
    <w:pPr>
      <w:pStyle w:val="Encabezado"/>
    </w:pPr>
  </w:p>
  <w:p w14:paraId="663FD149" w14:textId="77777777" w:rsidR="00000000" w:rsidRDefault="00000000">
    <w:pPr>
      <w:pStyle w:val="Encabezado"/>
    </w:pPr>
    <w:r>
      <w:rPr>
        <w:noProof/>
      </w:rPr>
      <w:pict w14:anchorId="34D1EE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9" o:spid="_x0000_s1025" type="#_x0000_t75" alt="" style="position:absolute;margin-left:-85.05pt;margin-top:-72.4pt;width:612.35pt;height:679.15pt;z-index:-251658240;mso-wrap-edited:f;mso-width-percent:0;mso-position-horizontal-relative:margin;mso-position-vertical-relative:margin;mso-width-percent:0" o:allowincell="f">
          <v:imagedata r:id="rId1" o:title="Hoja membretada" cropbottom="9363f"/>
          <w10:wrap anchorx="margin" anchory="margin"/>
        </v:shape>
      </w:pict>
    </w:r>
    <w:r w:rsidR="003E094F">
      <w:rPr>
        <w:noProof/>
        <w:lang w:eastAsia="es-MX"/>
      </w:rPr>
      <w:drawing>
        <wp:anchor distT="0" distB="0" distL="114300" distR="114300" simplePos="0" relativeHeight="251657216" behindDoc="1" locked="0" layoutInCell="0" allowOverlap="1" wp14:anchorId="74C52930" wp14:editId="4ACA0A47">
          <wp:simplePos x="0" y="0"/>
          <wp:positionH relativeFrom="page">
            <wp:posOffset>-262052</wp:posOffset>
          </wp:positionH>
          <wp:positionV relativeFrom="page">
            <wp:posOffset>1546617</wp:posOffset>
          </wp:positionV>
          <wp:extent cx="8428314" cy="8729676"/>
          <wp:effectExtent l="0" t="0" r="0" b="0"/>
          <wp:wrapNone/>
          <wp:docPr id="6" name="Imagen 6" descr="Hoja membret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oja membretad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246"/>
                  <a:stretch>
                    <a:fillRect/>
                  </a:stretch>
                </pic:blipFill>
                <pic:spPr bwMode="auto">
                  <a:xfrm>
                    <a:off x="0" y="0"/>
                    <a:ext cx="8428314" cy="872967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D439F"/>
    <w:multiLevelType w:val="hybridMultilevel"/>
    <w:tmpl w:val="939C598A"/>
    <w:lvl w:ilvl="0" w:tplc="3BE419D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6629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9C7"/>
    <w:rsid w:val="000D09F8"/>
    <w:rsid w:val="00252560"/>
    <w:rsid w:val="002C34C3"/>
    <w:rsid w:val="003120FD"/>
    <w:rsid w:val="003E094F"/>
    <w:rsid w:val="004857D5"/>
    <w:rsid w:val="007A192F"/>
    <w:rsid w:val="00892488"/>
    <w:rsid w:val="009919C7"/>
    <w:rsid w:val="009A0362"/>
    <w:rsid w:val="00A77127"/>
    <w:rsid w:val="00B511B7"/>
    <w:rsid w:val="00B75D8C"/>
    <w:rsid w:val="00D81F9A"/>
    <w:rsid w:val="00DC0B9F"/>
    <w:rsid w:val="00E06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36E76C"/>
  <w15:chartTrackingRefBased/>
  <w15:docId w15:val="{5F76162A-D595-4486-9F38-7CCE9876C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F9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919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919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919C7"/>
  </w:style>
  <w:style w:type="paragraph" w:styleId="Sinespaciado">
    <w:name w:val="No Spacing"/>
    <w:link w:val="SinespaciadoCar"/>
    <w:uiPriority w:val="1"/>
    <w:qFormat/>
    <w:rsid w:val="009919C7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9919C7"/>
    <w:rPr>
      <w:rFonts w:eastAsiaTheme="minorEastAsia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D81F9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F9A"/>
  </w:style>
  <w:style w:type="paragraph" w:styleId="Prrafodelista">
    <w:name w:val="List Paragraph"/>
    <w:basedOn w:val="Normal"/>
    <w:uiPriority w:val="34"/>
    <w:qFormat/>
    <w:rsid w:val="004857D5"/>
    <w:pPr>
      <w:ind w:left="720"/>
      <w:contextualSpacing/>
    </w:pPr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175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gabypa1975@gmail.com</dc:creator>
  <cp:keywords/>
  <dc:description/>
  <cp:lastModifiedBy>Paulina Lizzete Hernandez Chavez</cp:lastModifiedBy>
  <cp:revision>6</cp:revision>
  <dcterms:created xsi:type="dcterms:W3CDTF">2026-05-21T20:36:00Z</dcterms:created>
  <dcterms:modified xsi:type="dcterms:W3CDTF">2026-06-19T21:06:00Z</dcterms:modified>
</cp:coreProperties>
</file>