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535C74"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b/>
          <w:sz w:val="24"/>
          <w:szCs w:val="24"/>
          <w:bdr w:val="nil"/>
        </w:rPr>
        <w:t>P R E S E N T 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F260F1"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sz w:val="24"/>
          <w:szCs w:val="24"/>
          <w:bdr w:val="nil"/>
          <w:lang w:val="es-ES"/>
        </w:rPr>
        <w:t xml:space="preserve">Quienes motivan y suscriben </w:t>
      </w:r>
      <w:r w:rsidRPr="00F260F1">
        <w:rPr>
          <w:rFonts w:ascii="Arial" w:eastAsia="Arial Unicode MS" w:hAnsi="Arial" w:cs="Arial"/>
          <w:b/>
          <w:sz w:val="24"/>
          <w:szCs w:val="24"/>
          <w:bdr w:val="nil"/>
          <w:lang w:val="es-ES"/>
        </w:rPr>
        <w:t xml:space="preserve">LIC. LAURA ELENA MARTÍNEZ RUVALCABA, </w:t>
      </w:r>
      <w:r w:rsidR="00BA3842" w:rsidRPr="00F260F1">
        <w:rPr>
          <w:rFonts w:ascii="Arial" w:eastAsia="Arial Unicode MS" w:hAnsi="Arial" w:cs="Arial"/>
          <w:b/>
          <w:sz w:val="24"/>
          <w:szCs w:val="24"/>
          <w:bdr w:val="nil"/>
          <w:lang w:val="es-ES"/>
        </w:rPr>
        <w:t>MTRA. CINDY ESTEFANY GARCÍA OROZCO, MTRO. MANUEL DE JESUS JIMÉNEZ GARMA, LIC. TANIA MAGDALENA BERNARDINO JUAREZ Y MTRO. NOE SAUL RAMOS GARCÍA</w:t>
      </w:r>
      <w:r w:rsidRPr="00F260F1">
        <w:rPr>
          <w:rFonts w:ascii="Arial" w:eastAsia="Arial Unicode MS" w:hAnsi="Arial" w:cs="Arial"/>
          <w:sz w:val="24"/>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F260F1">
        <w:rPr>
          <w:rFonts w:ascii="Arial" w:eastAsia="Arial Unicode MS" w:hAnsi="Arial" w:cs="Arial"/>
          <w:b/>
          <w:sz w:val="24"/>
          <w:szCs w:val="24"/>
          <w:bdr w:val="nil"/>
          <w:lang w:val="es-ES"/>
        </w:rPr>
        <w:t xml:space="preserve">DICTAMEN </w:t>
      </w:r>
      <w:r w:rsidR="00D61343" w:rsidRPr="00F260F1">
        <w:rPr>
          <w:rFonts w:ascii="Arial" w:eastAsia="Arial Unicode MS" w:hAnsi="Arial" w:cs="Arial"/>
          <w:b/>
          <w:sz w:val="24"/>
          <w:szCs w:val="24"/>
          <w:bdr w:val="nil"/>
          <w:lang w:val="es-ES"/>
        </w:rPr>
        <w:t>QUE PROPONE VENTA DE BIEN INMUEBLE DE PROPIEDAD MUNICIPAL POR MEDIO DE SUBASTA PUBLICA</w:t>
      </w:r>
      <w:r w:rsidRPr="00F260F1">
        <w:rPr>
          <w:rFonts w:ascii="Arial" w:eastAsia="Arial Unicode MS" w:hAnsi="Arial" w:cs="Arial"/>
          <w:b/>
          <w:sz w:val="24"/>
          <w:szCs w:val="24"/>
          <w:bdr w:val="nil"/>
          <w:lang w:val="es-ES"/>
        </w:rPr>
        <w:t>”</w:t>
      </w:r>
      <w:r w:rsidRPr="00F260F1">
        <w:rPr>
          <w:rFonts w:ascii="Arial" w:eastAsia="Arial Unicode MS" w:hAnsi="Arial" w:cs="Arial"/>
          <w:sz w:val="24"/>
          <w:szCs w:val="24"/>
          <w:bdr w:val="nil"/>
          <w:lang w:val="es-ES"/>
        </w:rPr>
        <w:t xml:space="preserve"> de conformidad con la siguiente</w:t>
      </w:r>
    </w:p>
    <w:p w:rsidR="00637AE3" w:rsidRPr="00F260F1"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F260F1"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lang w:val="es-ES"/>
        </w:rPr>
      </w:pPr>
    </w:p>
    <w:p w:rsidR="00637AE3" w:rsidRPr="00F260F1" w:rsidRDefault="00695384" w:rsidP="00637AE3">
      <w:pPr>
        <w:pBdr>
          <w:top w:val="nil"/>
          <w:left w:val="nil"/>
          <w:bottom w:val="nil"/>
          <w:right w:val="nil"/>
          <w:between w:val="nil"/>
          <w:bar w:val="nil"/>
        </w:pBdr>
        <w:spacing w:after="0" w:line="240" w:lineRule="auto"/>
        <w:jc w:val="center"/>
        <w:rPr>
          <w:rFonts w:ascii="Arial" w:eastAsia="Arial Unicode MS" w:hAnsi="Arial" w:cs="Arial"/>
          <w:b/>
          <w:sz w:val="24"/>
          <w:szCs w:val="24"/>
          <w:bdr w:val="nil"/>
          <w:lang w:val="es-ES"/>
        </w:rPr>
      </w:pPr>
      <w:r w:rsidRPr="00F260F1">
        <w:rPr>
          <w:rFonts w:ascii="Arial" w:eastAsia="Arial Unicode MS" w:hAnsi="Arial" w:cs="Arial"/>
          <w:b/>
          <w:sz w:val="24"/>
          <w:szCs w:val="24"/>
          <w:bdr w:val="nil"/>
          <w:lang w:val="es-ES"/>
        </w:rPr>
        <w:t>ANTECEDENTES</w:t>
      </w:r>
      <w:r w:rsidR="00637AE3" w:rsidRPr="00F260F1">
        <w:rPr>
          <w:rFonts w:ascii="Arial" w:eastAsia="Arial Unicode MS" w:hAnsi="Arial" w:cs="Arial"/>
          <w:b/>
          <w:sz w:val="24"/>
          <w:szCs w:val="24"/>
          <w:bdr w:val="nil"/>
          <w:lang w:val="es-ES"/>
        </w:rPr>
        <w:t>:</w:t>
      </w:r>
    </w:p>
    <w:p w:rsidR="00637AE3" w:rsidRPr="00F260F1" w:rsidRDefault="00637AE3" w:rsidP="00AB3E04">
      <w:pPr>
        <w:pBdr>
          <w:top w:val="nil"/>
          <w:left w:val="nil"/>
          <w:bottom w:val="nil"/>
          <w:right w:val="nil"/>
          <w:between w:val="nil"/>
          <w:bar w:val="nil"/>
        </w:pBdr>
        <w:spacing w:after="0" w:line="240" w:lineRule="auto"/>
        <w:rPr>
          <w:rFonts w:ascii="Arial" w:eastAsia="Arial Unicode MS" w:hAnsi="Arial" w:cs="Arial"/>
          <w:sz w:val="24"/>
          <w:szCs w:val="24"/>
          <w:bdr w:val="nil"/>
          <w:lang w:val="es-ES"/>
        </w:rPr>
      </w:pPr>
    </w:p>
    <w:p w:rsidR="00637AE3" w:rsidRPr="00F260F1" w:rsidRDefault="00637AE3"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I.-</w:t>
      </w:r>
      <w:r w:rsidRPr="00F260F1">
        <w:rPr>
          <w:rFonts w:ascii="Arial" w:eastAsia="Arial Unicode MS" w:hAnsi="Arial" w:cs="Arial"/>
          <w:sz w:val="24"/>
          <w:szCs w:val="24"/>
          <w:bdr w:val="nil"/>
          <w:lang w:val="es-ES"/>
        </w:rPr>
        <w:t xml:space="preserve"> </w:t>
      </w:r>
      <w:r w:rsidR="000063E5" w:rsidRPr="00F260F1">
        <w:rPr>
          <w:rFonts w:ascii="Arial" w:eastAsia="Arial Unicode MS" w:hAnsi="Arial" w:cs="Arial"/>
          <w:sz w:val="24"/>
          <w:szCs w:val="24"/>
          <w:bdr w:val="nil"/>
          <w:lang w:val="es-ES"/>
        </w:rPr>
        <w:t>Que e</w:t>
      </w:r>
      <w:r w:rsidRPr="00F260F1">
        <w:rPr>
          <w:rFonts w:ascii="Arial" w:eastAsia="Arial Unicode MS" w:hAnsi="Arial" w:cs="Arial"/>
          <w:sz w:val="24"/>
          <w:szCs w:val="24"/>
          <w:bdr w:val="nil"/>
          <w:lang w:val="es-ES"/>
        </w:rPr>
        <w:t>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sidRPr="00F260F1">
        <w:rPr>
          <w:rFonts w:ascii="Arial" w:eastAsia="Arial Unicode MS" w:hAnsi="Arial" w:cs="Arial"/>
          <w:sz w:val="24"/>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F260F1" w:rsidRDefault="00F01889" w:rsidP="00637AE3">
      <w:pPr>
        <w:spacing w:after="0" w:line="240" w:lineRule="auto"/>
        <w:jc w:val="both"/>
        <w:rPr>
          <w:rFonts w:ascii="Arial" w:eastAsia="Arial Unicode MS" w:hAnsi="Arial" w:cs="Arial"/>
          <w:sz w:val="24"/>
          <w:szCs w:val="24"/>
          <w:bdr w:val="nil"/>
          <w:lang w:val="es-ES"/>
        </w:rPr>
      </w:pPr>
    </w:p>
    <w:p w:rsidR="00637AE3" w:rsidRPr="00F260F1" w:rsidRDefault="00637AE3"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II.-</w:t>
      </w:r>
      <w:r w:rsidRPr="00F260F1">
        <w:rPr>
          <w:rFonts w:ascii="Arial" w:eastAsia="Arial Unicode MS" w:hAnsi="Arial" w:cs="Arial"/>
          <w:sz w:val="24"/>
          <w:szCs w:val="24"/>
          <w:bdr w:val="nil"/>
          <w:lang w:val="es-ES"/>
        </w:rPr>
        <w:t xml:space="preserve"> </w:t>
      </w:r>
      <w:r w:rsidR="008A2CE7" w:rsidRPr="00F260F1">
        <w:rPr>
          <w:rFonts w:ascii="Arial" w:eastAsia="Arial Unicode MS" w:hAnsi="Arial" w:cs="Arial"/>
          <w:sz w:val="24"/>
          <w:szCs w:val="24"/>
          <w:bdr w:val="nil"/>
          <w:lang w:val="es-ES"/>
        </w:rPr>
        <w:t xml:space="preserve">El día 17 de junio del año 2019, fue recibido en sala de Regidores, </w:t>
      </w:r>
      <w:r w:rsidR="005728F7" w:rsidRPr="00F260F1">
        <w:rPr>
          <w:rFonts w:ascii="Arial" w:eastAsia="Arial Unicode MS" w:hAnsi="Arial" w:cs="Arial"/>
          <w:sz w:val="24"/>
          <w:szCs w:val="24"/>
          <w:bdr w:val="nil"/>
          <w:lang w:val="es-ES"/>
        </w:rPr>
        <w:t>el oficio 315/2019</w:t>
      </w:r>
      <w:r w:rsidR="008A2CE7" w:rsidRPr="00F260F1">
        <w:rPr>
          <w:rFonts w:ascii="Arial" w:eastAsia="Arial Unicode MS" w:hAnsi="Arial" w:cs="Arial"/>
          <w:sz w:val="24"/>
          <w:szCs w:val="24"/>
          <w:bdr w:val="nil"/>
          <w:lang w:val="es-ES"/>
        </w:rPr>
        <w:t xml:space="preserve"> dirigido a la Presidenta de la Comisión Edilicia de Hacienda Pública y de Patrimonio Municipal la Lic. Laura Elena Martínez Ruvalcaba, suscrito por la Síndico Municipal la Lic. Cindy Estefany García Orozco, mediante el cual hace del conocimiento de este cuerpo colegiado, la existencia de un bien inmueble de dominio privado propiedad de este Municipio, mismo que se encuentra en desuso y que en años anteriores se </w:t>
      </w:r>
      <w:r w:rsidR="008A2CE7" w:rsidRPr="00F260F1">
        <w:rPr>
          <w:rFonts w:ascii="Arial" w:eastAsia="Arial Unicode MS" w:hAnsi="Arial" w:cs="Arial"/>
          <w:sz w:val="24"/>
          <w:szCs w:val="24"/>
          <w:bdr w:val="nil"/>
          <w:lang w:val="es-ES"/>
        </w:rPr>
        <w:lastRenderedPageBreak/>
        <w:t xml:space="preserve">encontraba otorgado en comodato </w:t>
      </w:r>
      <w:r w:rsidR="003037DD" w:rsidRPr="00F260F1">
        <w:rPr>
          <w:rFonts w:ascii="Arial" w:eastAsia="Arial Unicode MS" w:hAnsi="Arial" w:cs="Arial"/>
          <w:sz w:val="24"/>
          <w:szCs w:val="24"/>
          <w:bdr w:val="nil"/>
          <w:lang w:val="es-ES"/>
        </w:rPr>
        <w:t>para uso del Organismo Público Descentralizado “SAPAZA”, en el cual se encontraba un pozo que ya no cumplió con el aforo requerido</w:t>
      </w:r>
      <w:r w:rsidR="00A908B7" w:rsidRPr="00F260F1">
        <w:rPr>
          <w:rFonts w:ascii="Arial" w:eastAsia="Arial Unicode MS" w:hAnsi="Arial" w:cs="Arial"/>
          <w:sz w:val="24"/>
          <w:szCs w:val="24"/>
          <w:bdr w:val="nil"/>
          <w:lang w:val="es-ES"/>
        </w:rPr>
        <w:t xml:space="preserve"> para cubrir el abastecimiento de dicha zona</w:t>
      </w:r>
      <w:r w:rsidR="00F869CE" w:rsidRPr="00F260F1">
        <w:rPr>
          <w:rFonts w:ascii="Arial" w:eastAsia="Arial Unicode MS" w:hAnsi="Arial" w:cs="Arial"/>
          <w:sz w:val="24"/>
          <w:szCs w:val="24"/>
          <w:bdr w:val="nil"/>
          <w:lang w:val="es-ES"/>
        </w:rPr>
        <w:t xml:space="preserve">; por tal motivo su infraestructura quedó obsoleta. Cabe mencionar, que el área es actualmente dotada de los servicios de agua potable y saneamiento por otra línea de distribución, por lo </w:t>
      </w:r>
      <w:r w:rsidR="009246FA" w:rsidRPr="00F260F1">
        <w:rPr>
          <w:rFonts w:ascii="Arial" w:eastAsia="Arial Unicode MS" w:hAnsi="Arial" w:cs="Arial"/>
          <w:sz w:val="24"/>
          <w:szCs w:val="24"/>
          <w:bdr w:val="nil"/>
          <w:lang w:val="es-ES"/>
        </w:rPr>
        <w:t>tanto,</w:t>
      </w:r>
      <w:r w:rsidR="00F869CE" w:rsidRPr="00F260F1">
        <w:rPr>
          <w:rFonts w:ascii="Arial" w:eastAsia="Arial Unicode MS" w:hAnsi="Arial" w:cs="Arial"/>
          <w:sz w:val="24"/>
          <w:szCs w:val="24"/>
          <w:bdr w:val="nil"/>
          <w:lang w:val="es-ES"/>
        </w:rPr>
        <w:t xml:space="preserve"> no se tiene contemplado volver a utilizar dicha infraestructura. </w:t>
      </w:r>
    </w:p>
    <w:p w:rsidR="00BB3E7C" w:rsidRPr="00F260F1" w:rsidRDefault="00BB3E7C" w:rsidP="00637AE3">
      <w:pPr>
        <w:spacing w:after="0" w:line="240" w:lineRule="auto"/>
        <w:jc w:val="both"/>
        <w:rPr>
          <w:rFonts w:ascii="Arial" w:eastAsia="Arial Unicode MS" w:hAnsi="Arial" w:cs="Arial"/>
          <w:sz w:val="24"/>
          <w:szCs w:val="24"/>
          <w:bdr w:val="nil"/>
          <w:lang w:val="es-ES"/>
        </w:rPr>
      </w:pPr>
    </w:p>
    <w:p w:rsidR="00BB3E7C" w:rsidRPr="00F260F1" w:rsidRDefault="00BB3E7C"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 xml:space="preserve">III.- </w:t>
      </w:r>
      <w:r w:rsidR="00F869CE" w:rsidRPr="00F260F1">
        <w:rPr>
          <w:rFonts w:ascii="Arial" w:eastAsia="Arial Unicode MS" w:hAnsi="Arial" w:cs="Arial"/>
          <w:sz w:val="24"/>
          <w:szCs w:val="24"/>
          <w:bdr w:val="nil"/>
          <w:lang w:val="es-ES"/>
        </w:rPr>
        <w:t xml:space="preserve">Las características del inmueble mencionado, mismas que se anexan en los documentos correspondientes al presente dictamen, son las siguientes: </w:t>
      </w:r>
    </w:p>
    <w:p w:rsidR="00540BEB" w:rsidRPr="00F260F1" w:rsidRDefault="00540BEB" w:rsidP="00637AE3">
      <w:pPr>
        <w:spacing w:after="0" w:line="240" w:lineRule="auto"/>
        <w:jc w:val="both"/>
        <w:rPr>
          <w:rFonts w:ascii="Arial" w:eastAsia="Arial Unicode MS" w:hAnsi="Arial" w:cs="Arial"/>
          <w:sz w:val="24"/>
          <w:szCs w:val="24"/>
          <w:bdr w:val="nil"/>
          <w:lang w:val="es-ES"/>
        </w:rPr>
      </w:pPr>
    </w:p>
    <w:p w:rsidR="00540BEB" w:rsidRPr="00F260F1" w:rsidRDefault="00540BEB" w:rsidP="00637AE3">
      <w:pPr>
        <w:spacing w:after="0" w:line="240" w:lineRule="auto"/>
        <w:jc w:val="both"/>
        <w:rPr>
          <w:rFonts w:ascii="Arial" w:eastAsia="Arial Unicode MS" w:hAnsi="Arial" w:cs="Arial"/>
          <w:sz w:val="24"/>
          <w:szCs w:val="24"/>
          <w:bdr w:val="nil"/>
          <w:lang w:val="es-ES"/>
        </w:rPr>
      </w:pPr>
      <w:r w:rsidRPr="007D19F9">
        <w:rPr>
          <w:rFonts w:ascii="Arial" w:eastAsia="Arial Unicode MS" w:hAnsi="Arial" w:cs="Arial"/>
          <w:sz w:val="24"/>
          <w:szCs w:val="24"/>
          <w:bdr w:val="nil"/>
          <w:lang w:val="es-ES"/>
        </w:rPr>
        <w:t>Predio urbano localizado en</w:t>
      </w:r>
      <w:r w:rsidR="0091550D" w:rsidRPr="007D19F9">
        <w:rPr>
          <w:rFonts w:ascii="Arial" w:eastAsia="Arial Unicode MS" w:hAnsi="Arial" w:cs="Arial"/>
          <w:sz w:val="24"/>
          <w:szCs w:val="24"/>
          <w:bdr w:val="nil"/>
          <w:lang w:val="es-ES"/>
        </w:rPr>
        <w:t xml:space="preserve"> la Calle José </w:t>
      </w:r>
      <w:r w:rsidR="00D230CD" w:rsidRPr="007D19F9">
        <w:rPr>
          <w:rFonts w:ascii="Arial" w:eastAsia="Arial Unicode MS" w:hAnsi="Arial" w:cs="Arial"/>
          <w:sz w:val="24"/>
          <w:szCs w:val="24"/>
          <w:bdr w:val="nil"/>
          <w:lang w:val="es-ES"/>
        </w:rPr>
        <w:t>Vasconcelos</w:t>
      </w:r>
      <w:r w:rsidR="0091550D" w:rsidRPr="007D19F9">
        <w:rPr>
          <w:rFonts w:ascii="Arial" w:eastAsia="Arial Unicode MS" w:hAnsi="Arial" w:cs="Arial"/>
          <w:sz w:val="24"/>
          <w:szCs w:val="24"/>
          <w:bdr w:val="nil"/>
          <w:lang w:val="es-ES"/>
        </w:rPr>
        <w:t xml:space="preserve"> número 10, en la colonia 16 de septiembre, en Ciudad Guzmán, Municipio de Zapotlán el Grande, Jalisco, con</w:t>
      </w:r>
      <w:r w:rsidR="007D19F9" w:rsidRPr="007D19F9">
        <w:rPr>
          <w:rFonts w:ascii="Arial" w:eastAsia="Arial Unicode MS" w:hAnsi="Arial" w:cs="Arial"/>
          <w:sz w:val="24"/>
          <w:szCs w:val="24"/>
          <w:bdr w:val="nil"/>
          <w:lang w:val="es-ES"/>
        </w:rPr>
        <w:t xml:space="preserve"> número de cuenta catastral U000607</w:t>
      </w:r>
      <w:r w:rsidR="0091550D" w:rsidRPr="007D19F9">
        <w:rPr>
          <w:rFonts w:ascii="Arial" w:eastAsia="Arial Unicode MS" w:hAnsi="Arial" w:cs="Arial"/>
          <w:sz w:val="24"/>
          <w:szCs w:val="24"/>
          <w:bdr w:val="nil"/>
          <w:lang w:val="es-ES"/>
        </w:rPr>
        <w:t xml:space="preserve"> </w:t>
      </w:r>
      <w:r w:rsidR="00413309">
        <w:rPr>
          <w:rFonts w:ascii="Arial" w:eastAsia="Arial Unicode MS" w:hAnsi="Arial" w:cs="Arial"/>
          <w:sz w:val="24"/>
          <w:szCs w:val="24"/>
          <w:bdr w:val="nil"/>
          <w:lang w:val="es-ES"/>
        </w:rPr>
        <w:t xml:space="preserve">y </w:t>
      </w:r>
      <w:r w:rsidR="0091550D" w:rsidRPr="007D19F9">
        <w:rPr>
          <w:rFonts w:ascii="Arial" w:eastAsia="Arial Unicode MS" w:hAnsi="Arial" w:cs="Arial"/>
          <w:sz w:val="24"/>
          <w:szCs w:val="24"/>
          <w:bdr w:val="nil"/>
          <w:lang w:val="es-ES"/>
        </w:rPr>
        <w:t>una superficie d</w:t>
      </w:r>
      <w:bookmarkStart w:id="0" w:name="_GoBack"/>
      <w:bookmarkEnd w:id="0"/>
      <w:r w:rsidR="0091550D" w:rsidRPr="007D19F9">
        <w:rPr>
          <w:rFonts w:ascii="Arial" w:eastAsia="Arial Unicode MS" w:hAnsi="Arial" w:cs="Arial"/>
          <w:sz w:val="24"/>
          <w:szCs w:val="24"/>
          <w:bdr w:val="nil"/>
          <w:lang w:val="es-ES"/>
        </w:rPr>
        <w:t>e 317 metros cuadrados</w:t>
      </w:r>
      <w:r w:rsidR="00F8091F" w:rsidRPr="007D19F9">
        <w:rPr>
          <w:rFonts w:ascii="Arial" w:eastAsia="Arial Unicode MS" w:hAnsi="Arial" w:cs="Arial"/>
          <w:sz w:val="24"/>
          <w:szCs w:val="24"/>
          <w:bdr w:val="nil"/>
          <w:lang w:val="es-ES"/>
        </w:rPr>
        <w:t xml:space="preserve"> colindando al Norte con</w:t>
      </w:r>
      <w:r w:rsidR="00BD48B1" w:rsidRPr="007D19F9">
        <w:rPr>
          <w:rFonts w:ascii="Arial" w:eastAsia="Arial Unicode MS" w:hAnsi="Arial" w:cs="Arial"/>
          <w:sz w:val="24"/>
          <w:szCs w:val="24"/>
          <w:bdr w:val="nil"/>
          <w:lang w:val="es-ES"/>
        </w:rPr>
        <w:t xml:space="preserve"> </w:t>
      </w:r>
      <w:r w:rsidR="0049675B" w:rsidRPr="007D19F9">
        <w:rPr>
          <w:rFonts w:ascii="Arial" w:eastAsia="Arial Unicode MS" w:hAnsi="Arial" w:cs="Arial"/>
          <w:sz w:val="24"/>
          <w:szCs w:val="24"/>
          <w:bdr w:val="nil"/>
          <w:lang w:val="es-ES"/>
        </w:rPr>
        <w:t>Propiedad de Víctor García Baltazar</w:t>
      </w:r>
      <w:r w:rsidR="00F8091F" w:rsidRPr="007D19F9">
        <w:rPr>
          <w:rFonts w:ascii="Arial" w:eastAsia="Arial Unicode MS" w:hAnsi="Arial" w:cs="Arial"/>
          <w:sz w:val="24"/>
          <w:szCs w:val="24"/>
          <w:bdr w:val="nil"/>
          <w:lang w:val="es-ES"/>
        </w:rPr>
        <w:t xml:space="preserve">, al Oriente con propiedad de </w:t>
      </w:r>
      <w:r w:rsidR="0049675B" w:rsidRPr="007D19F9">
        <w:rPr>
          <w:rFonts w:ascii="Arial" w:eastAsia="Arial Unicode MS" w:hAnsi="Arial" w:cs="Arial"/>
          <w:sz w:val="24"/>
          <w:szCs w:val="24"/>
          <w:bdr w:val="nil"/>
          <w:lang w:val="es-ES"/>
        </w:rPr>
        <w:t>Ignacio Corona Vizcaíno</w:t>
      </w:r>
      <w:r w:rsidR="00BD48B1" w:rsidRPr="007D19F9">
        <w:rPr>
          <w:rFonts w:ascii="Arial" w:eastAsia="Arial Unicode MS" w:hAnsi="Arial" w:cs="Arial"/>
          <w:sz w:val="24"/>
          <w:szCs w:val="24"/>
          <w:bdr w:val="nil"/>
          <w:lang w:val="es-ES"/>
        </w:rPr>
        <w:t>, al Sur con propiedad</w:t>
      </w:r>
      <w:r w:rsidR="0049675B" w:rsidRPr="007D19F9">
        <w:rPr>
          <w:rFonts w:ascii="Arial" w:eastAsia="Arial Unicode MS" w:hAnsi="Arial" w:cs="Arial"/>
          <w:sz w:val="24"/>
          <w:szCs w:val="24"/>
          <w:bdr w:val="nil"/>
          <w:lang w:val="es-ES"/>
        </w:rPr>
        <w:t xml:space="preserve"> de José de Jesús Núñez Dávila</w:t>
      </w:r>
      <w:r w:rsidR="00BD48B1" w:rsidRPr="007D19F9">
        <w:rPr>
          <w:rFonts w:ascii="Arial" w:eastAsia="Arial Unicode MS" w:hAnsi="Arial" w:cs="Arial"/>
          <w:sz w:val="24"/>
          <w:szCs w:val="24"/>
          <w:bdr w:val="nil"/>
          <w:lang w:val="es-ES"/>
        </w:rPr>
        <w:t xml:space="preserve"> y al Poniente con la calle José </w:t>
      </w:r>
      <w:r w:rsidR="00D230CD" w:rsidRPr="007D19F9">
        <w:rPr>
          <w:rFonts w:ascii="Arial" w:eastAsia="Arial Unicode MS" w:hAnsi="Arial" w:cs="Arial"/>
          <w:sz w:val="24"/>
          <w:szCs w:val="24"/>
          <w:bdr w:val="nil"/>
          <w:lang w:val="es-ES"/>
        </w:rPr>
        <w:t>Vasconcelos</w:t>
      </w:r>
      <w:r w:rsidR="00BD48B1" w:rsidRPr="007D19F9">
        <w:rPr>
          <w:rFonts w:ascii="Arial" w:eastAsia="Arial Unicode MS" w:hAnsi="Arial" w:cs="Arial"/>
          <w:sz w:val="24"/>
          <w:szCs w:val="24"/>
          <w:bdr w:val="nil"/>
          <w:lang w:val="es-ES"/>
        </w:rPr>
        <w:t>.</w:t>
      </w:r>
    </w:p>
    <w:p w:rsidR="001638DA" w:rsidRPr="00F260F1" w:rsidRDefault="001638DA" w:rsidP="00637AE3">
      <w:pPr>
        <w:spacing w:after="0" w:line="240" w:lineRule="auto"/>
        <w:jc w:val="both"/>
        <w:rPr>
          <w:rFonts w:ascii="Arial" w:eastAsia="Arial Unicode MS" w:hAnsi="Arial" w:cs="Arial"/>
          <w:sz w:val="24"/>
          <w:szCs w:val="24"/>
          <w:bdr w:val="nil"/>
          <w:lang w:val="es-ES"/>
        </w:rPr>
      </w:pPr>
    </w:p>
    <w:p w:rsidR="001638DA" w:rsidRPr="00F260F1" w:rsidRDefault="001638DA"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 xml:space="preserve">IV.- </w:t>
      </w:r>
      <w:r w:rsidR="005728F7" w:rsidRPr="00F260F1">
        <w:rPr>
          <w:rFonts w:ascii="Arial" w:eastAsia="Arial Unicode MS" w:hAnsi="Arial" w:cs="Arial"/>
          <w:sz w:val="24"/>
          <w:szCs w:val="24"/>
          <w:bdr w:val="nil"/>
          <w:lang w:val="es-ES"/>
        </w:rPr>
        <w:t xml:space="preserve">En el oficio de mérito, se hace del conocimiento de esta Comisión, que se han recibido escritos por parte de particulares, quienes solicitan la compra del bien inmueble, mismos que se anexan al presente dictamen junto con el avalúo Inmobiliario de determinación de valor para posible venta, realizado por el Ing. </w:t>
      </w:r>
      <w:r w:rsidR="005728F7" w:rsidRPr="007D19F9">
        <w:rPr>
          <w:rFonts w:ascii="Arial" w:eastAsia="Arial Unicode MS" w:hAnsi="Arial" w:cs="Arial"/>
          <w:sz w:val="24"/>
          <w:szCs w:val="24"/>
          <w:bdr w:val="nil"/>
          <w:lang w:val="es-ES"/>
        </w:rPr>
        <w:t>Rodolfo Navarro Ibarra</w:t>
      </w:r>
      <w:r w:rsidR="005728F7" w:rsidRPr="00F260F1">
        <w:rPr>
          <w:rFonts w:ascii="Arial" w:eastAsia="Arial Unicode MS" w:hAnsi="Arial" w:cs="Arial"/>
          <w:sz w:val="24"/>
          <w:szCs w:val="24"/>
          <w:bdr w:val="nil"/>
          <w:lang w:val="es-ES"/>
        </w:rPr>
        <w:t>; así mismo para acreditar la propiedad del terreno, se adjunta la escritura pública número 1985 protocolizada bajo la fe del notario público número 05 de esta Municipalidad, el Licenciado León Elizondo Díaz.</w:t>
      </w:r>
    </w:p>
    <w:p w:rsidR="005728F7" w:rsidRPr="00F260F1" w:rsidRDefault="005728F7" w:rsidP="00637AE3">
      <w:pPr>
        <w:spacing w:after="0" w:line="240" w:lineRule="auto"/>
        <w:jc w:val="both"/>
        <w:rPr>
          <w:rFonts w:ascii="Arial" w:eastAsia="Arial Unicode MS" w:hAnsi="Arial" w:cs="Arial"/>
          <w:sz w:val="24"/>
          <w:szCs w:val="24"/>
          <w:bdr w:val="nil"/>
          <w:lang w:val="es-ES"/>
        </w:rPr>
      </w:pPr>
    </w:p>
    <w:p w:rsidR="00637AE3" w:rsidRDefault="005728F7"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 xml:space="preserve">V.- </w:t>
      </w:r>
      <w:r w:rsidRPr="00F260F1">
        <w:rPr>
          <w:rFonts w:ascii="Arial" w:eastAsia="Arial Unicode MS" w:hAnsi="Arial" w:cs="Arial"/>
          <w:sz w:val="24"/>
          <w:szCs w:val="24"/>
          <w:bdr w:val="nil"/>
          <w:lang w:val="es-ES"/>
        </w:rPr>
        <w:t>El día 18 de junio del año 2019, se convocó a sesionar de manera extraordinaria a la Comisión Edilicia de Hacienda Pública y de Patrimonio Municipal, quienes reunidos en la sala de juntas que se encuentra en las instalaciones del Organismo Público Descentralizado</w:t>
      </w:r>
      <w:r w:rsidR="00A52963" w:rsidRPr="00F260F1">
        <w:rPr>
          <w:rFonts w:ascii="Arial" w:eastAsia="Arial Unicode MS" w:hAnsi="Arial" w:cs="Arial"/>
          <w:sz w:val="24"/>
          <w:szCs w:val="24"/>
          <w:bdr w:val="nil"/>
          <w:lang w:val="es-ES"/>
        </w:rPr>
        <w:t xml:space="preserve"> de Estacionómetros para la Asistencia Social del Municipio de Zapotlán el Grande, tuvieron a la vista los documentos relativos al presente dictamen, procediendo a analizar al respecto en el punto 02 del orden del día de dicha Comisión. Una vez verificada la procedencia del oficio suscrito por la Síndico Municipal, los regidores integrantes de esta Comisión, deliberaron al respecto, </w:t>
      </w:r>
      <w:r w:rsidR="00A52963" w:rsidRPr="00F260F1">
        <w:rPr>
          <w:rFonts w:ascii="Arial" w:eastAsia="Arial Unicode MS" w:hAnsi="Arial" w:cs="Arial"/>
          <w:b/>
          <w:sz w:val="24"/>
          <w:szCs w:val="24"/>
          <w:bdr w:val="nil"/>
          <w:lang w:val="es-ES"/>
        </w:rPr>
        <w:t>votando a favor</w:t>
      </w:r>
      <w:r w:rsidR="006D6BFA" w:rsidRPr="00F260F1">
        <w:rPr>
          <w:rFonts w:ascii="Arial" w:eastAsia="Arial Unicode MS" w:hAnsi="Arial" w:cs="Arial"/>
          <w:b/>
          <w:sz w:val="24"/>
          <w:szCs w:val="24"/>
          <w:bdr w:val="nil"/>
          <w:lang w:val="es-ES"/>
        </w:rPr>
        <w:t xml:space="preserve"> los cuatro asistentes</w:t>
      </w:r>
      <w:r w:rsidR="006D6BFA" w:rsidRPr="00F260F1">
        <w:rPr>
          <w:rFonts w:ascii="Arial" w:eastAsia="Arial Unicode MS" w:hAnsi="Arial" w:cs="Arial"/>
          <w:sz w:val="24"/>
          <w:szCs w:val="24"/>
          <w:bdr w:val="nil"/>
          <w:lang w:val="es-ES"/>
        </w:rPr>
        <w:t xml:space="preserve"> en el sentido</w:t>
      </w:r>
      <w:r w:rsidR="00A52963" w:rsidRPr="00F260F1">
        <w:rPr>
          <w:rFonts w:ascii="Arial" w:eastAsia="Arial Unicode MS" w:hAnsi="Arial" w:cs="Arial"/>
          <w:sz w:val="24"/>
          <w:szCs w:val="24"/>
          <w:bdr w:val="nil"/>
          <w:lang w:val="es-ES"/>
        </w:rPr>
        <w:t xml:space="preserve"> de vender el inmueble de propiedad Municipal para subsanar los requerimientos que este Municipio tiene con motivo de los laudos en materia laboral y administrativa; de la misma manera, solicitaron previa dictaminación ante el pleno del Ayuntamiento, </w:t>
      </w:r>
      <w:r w:rsidR="00A52963" w:rsidRPr="00A74678">
        <w:rPr>
          <w:rFonts w:ascii="Arial" w:eastAsia="Arial Unicode MS" w:hAnsi="Arial" w:cs="Arial"/>
          <w:sz w:val="24"/>
          <w:szCs w:val="24"/>
          <w:bdr w:val="nil"/>
          <w:lang w:val="es-ES"/>
        </w:rPr>
        <w:t xml:space="preserve">que el Organismo Público Descentralizado </w:t>
      </w:r>
      <w:proofErr w:type="spellStart"/>
      <w:r w:rsidR="00A74678" w:rsidRPr="00A74678">
        <w:rPr>
          <w:rFonts w:ascii="Arial" w:eastAsia="Arial Unicode MS" w:hAnsi="Arial" w:cs="Arial"/>
          <w:sz w:val="24"/>
          <w:szCs w:val="24"/>
          <w:bdr w:val="nil"/>
          <w:lang w:val="es-ES"/>
        </w:rPr>
        <w:t>Sapaza</w:t>
      </w:r>
      <w:proofErr w:type="spellEnd"/>
      <w:r w:rsidR="00A74678" w:rsidRPr="00A74678">
        <w:rPr>
          <w:rFonts w:ascii="Arial" w:eastAsia="Arial Unicode MS" w:hAnsi="Arial" w:cs="Arial"/>
          <w:sz w:val="24"/>
          <w:szCs w:val="24"/>
          <w:bdr w:val="nil"/>
          <w:lang w:val="es-ES"/>
        </w:rPr>
        <w:t xml:space="preserve"> </w:t>
      </w:r>
      <w:r w:rsidR="00A52963" w:rsidRPr="00A74678">
        <w:rPr>
          <w:rFonts w:ascii="Arial" w:eastAsia="Arial Unicode MS" w:hAnsi="Arial" w:cs="Arial"/>
          <w:sz w:val="24"/>
          <w:szCs w:val="24"/>
          <w:bdr w:val="nil"/>
          <w:lang w:val="es-ES"/>
        </w:rPr>
        <w:t>por medio del departamento que corresponda, emita un dictamen donde se expres</w:t>
      </w:r>
      <w:r w:rsidR="00A74678">
        <w:rPr>
          <w:rFonts w:ascii="Arial" w:eastAsia="Arial Unicode MS" w:hAnsi="Arial" w:cs="Arial"/>
          <w:sz w:val="24"/>
          <w:szCs w:val="24"/>
          <w:bdr w:val="nil"/>
          <w:lang w:val="es-ES"/>
        </w:rPr>
        <w:t xml:space="preserve">e que dicho </w:t>
      </w:r>
      <w:r w:rsidR="00A74678" w:rsidRPr="00A74678">
        <w:t xml:space="preserve"> </w:t>
      </w:r>
      <w:r w:rsidR="00A74678">
        <w:rPr>
          <w:rFonts w:ascii="Arial" w:eastAsia="Arial Unicode MS" w:hAnsi="Arial" w:cs="Arial"/>
          <w:sz w:val="24"/>
          <w:szCs w:val="24"/>
          <w:bdr w:val="nil"/>
          <w:lang w:val="es-ES"/>
        </w:rPr>
        <w:t xml:space="preserve">pozo </w:t>
      </w:r>
      <w:r w:rsidR="00A74678" w:rsidRPr="00A74678">
        <w:rPr>
          <w:rFonts w:ascii="Arial" w:eastAsia="Arial Unicode MS" w:hAnsi="Arial" w:cs="Arial"/>
          <w:sz w:val="24"/>
          <w:szCs w:val="24"/>
          <w:bdr w:val="nil"/>
          <w:lang w:val="es-ES"/>
        </w:rPr>
        <w:t>ya no cumplió con el aforo requerido para cubrir el abastecimiento de dicha zona</w:t>
      </w:r>
      <w:r w:rsidR="00A74678">
        <w:rPr>
          <w:rFonts w:ascii="Arial" w:eastAsia="Arial Unicode MS" w:hAnsi="Arial" w:cs="Arial"/>
          <w:sz w:val="24"/>
          <w:szCs w:val="24"/>
          <w:bdr w:val="nil"/>
          <w:lang w:val="es-ES"/>
        </w:rPr>
        <w:t xml:space="preserve"> urbana</w:t>
      </w:r>
      <w:r w:rsidR="00A74678" w:rsidRPr="00A74678">
        <w:rPr>
          <w:rFonts w:ascii="Arial" w:eastAsia="Arial Unicode MS" w:hAnsi="Arial" w:cs="Arial"/>
          <w:sz w:val="24"/>
          <w:szCs w:val="24"/>
          <w:bdr w:val="nil"/>
          <w:lang w:val="es-ES"/>
        </w:rPr>
        <w:t xml:space="preserve">; </w:t>
      </w:r>
      <w:r w:rsidR="009C5D71" w:rsidRPr="00A74678">
        <w:rPr>
          <w:rFonts w:ascii="Arial" w:eastAsia="Arial Unicode MS" w:hAnsi="Arial" w:cs="Arial"/>
          <w:sz w:val="24"/>
          <w:szCs w:val="24"/>
          <w:bdr w:val="nil"/>
          <w:lang w:val="es-ES"/>
        </w:rPr>
        <w:t>y por lo tanto el cese de explotación</w:t>
      </w:r>
      <w:r w:rsidR="00A52963" w:rsidRPr="00A74678">
        <w:rPr>
          <w:rFonts w:ascii="Arial" w:eastAsia="Arial Unicode MS" w:hAnsi="Arial" w:cs="Arial"/>
          <w:sz w:val="24"/>
          <w:szCs w:val="24"/>
          <w:bdr w:val="nil"/>
          <w:lang w:val="es-ES"/>
        </w:rPr>
        <w:t xml:space="preserve"> del pozo de agua</w:t>
      </w:r>
      <w:r w:rsidR="009C5D71" w:rsidRPr="00A74678">
        <w:rPr>
          <w:rFonts w:ascii="Arial" w:eastAsia="Arial Unicode MS" w:hAnsi="Arial" w:cs="Arial"/>
          <w:sz w:val="24"/>
          <w:szCs w:val="24"/>
          <w:bdr w:val="nil"/>
          <w:lang w:val="es-ES"/>
        </w:rPr>
        <w:t xml:space="preserve"> </w:t>
      </w:r>
      <w:r w:rsidR="00A52963" w:rsidRPr="00A74678">
        <w:rPr>
          <w:rFonts w:ascii="Arial" w:eastAsia="Arial Unicode MS" w:hAnsi="Arial" w:cs="Arial"/>
          <w:sz w:val="24"/>
          <w:szCs w:val="24"/>
          <w:bdr w:val="nil"/>
          <w:lang w:val="es-ES"/>
        </w:rPr>
        <w:t xml:space="preserve">que se encuentra </w:t>
      </w:r>
      <w:r w:rsidR="00A74678">
        <w:rPr>
          <w:rFonts w:ascii="Arial" w:eastAsia="Arial Unicode MS" w:hAnsi="Arial" w:cs="Arial"/>
          <w:sz w:val="24"/>
          <w:szCs w:val="24"/>
          <w:bdr w:val="nil"/>
          <w:lang w:val="es-ES"/>
        </w:rPr>
        <w:lastRenderedPageBreak/>
        <w:t xml:space="preserve">en </w:t>
      </w:r>
      <w:r w:rsidR="00A52963" w:rsidRPr="00A74678">
        <w:rPr>
          <w:rFonts w:ascii="Arial" w:eastAsia="Arial Unicode MS" w:hAnsi="Arial" w:cs="Arial"/>
          <w:sz w:val="24"/>
          <w:szCs w:val="24"/>
          <w:bdr w:val="nil"/>
          <w:lang w:val="es-ES"/>
        </w:rPr>
        <w:t>el predio</w:t>
      </w:r>
      <w:r w:rsidR="009C5D71" w:rsidRPr="00A74678">
        <w:rPr>
          <w:rFonts w:ascii="Arial" w:eastAsia="Arial Unicode MS" w:hAnsi="Arial" w:cs="Arial"/>
          <w:sz w:val="24"/>
          <w:szCs w:val="24"/>
          <w:bdr w:val="nil"/>
          <w:lang w:val="es-ES"/>
        </w:rPr>
        <w:t>.</w:t>
      </w:r>
      <w:r w:rsidR="00A52963" w:rsidRPr="00A74678">
        <w:rPr>
          <w:rFonts w:ascii="Arial" w:eastAsia="Arial Unicode MS" w:hAnsi="Arial" w:cs="Arial"/>
          <w:sz w:val="24"/>
          <w:szCs w:val="24"/>
          <w:bdr w:val="nil"/>
          <w:lang w:val="es-ES"/>
        </w:rPr>
        <w:t xml:space="preserve"> </w:t>
      </w:r>
      <w:r w:rsidR="00B30D43">
        <w:rPr>
          <w:rFonts w:ascii="Arial" w:eastAsia="Arial Unicode MS" w:hAnsi="Arial" w:cs="Arial"/>
          <w:sz w:val="24"/>
          <w:szCs w:val="24"/>
          <w:bdr w:val="nil"/>
          <w:lang w:val="es-ES"/>
        </w:rPr>
        <w:t>Se</w:t>
      </w:r>
      <w:r w:rsidR="00A74678">
        <w:rPr>
          <w:rFonts w:ascii="Arial" w:eastAsia="Arial Unicode MS" w:hAnsi="Arial" w:cs="Arial"/>
          <w:sz w:val="24"/>
          <w:szCs w:val="24"/>
          <w:bdr w:val="nil"/>
          <w:lang w:val="es-ES"/>
        </w:rPr>
        <w:t xml:space="preserve"> hace del conocimiento al OPD Sapaza por medio del oficio 358/2019 suscrito </w:t>
      </w:r>
      <w:r w:rsidR="00B30D43">
        <w:rPr>
          <w:rFonts w:ascii="Arial" w:eastAsia="Arial Unicode MS" w:hAnsi="Arial" w:cs="Arial"/>
          <w:sz w:val="24"/>
          <w:szCs w:val="24"/>
          <w:bdr w:val="nil"/>
          <w:lang w:val="es-ES"/>
        </w:rPr>
        <w:t xml:space="preserve">por la </w:t>
      </w:r>
      <w:r w:rsidR="005E703E" w:rsidRPr="005E703E">
        <w:rPr>
          <w:rFonts w:ascii="Arial" w:eastAsia="Arial Unicode MS" w:hAnsi="Arial" w:cs="Arial"/>
          <w:sz w:val="24"/>
          <w:szCs w:val="24"/>
          <w:bdr w:val="nil"/>
          <w:lang w:val="es-ES"/>
        </w:rPr>
        <w:t xml:space="preserve">Presidenta de la Comisión Edilicia de Hacienda Pública y de Patrimonio Municipal la Lic. Laura Elena Martínez </w:t>
      </w:r>
      <w:r w:rsidR="00413309" w:rsidRPr="005E703E">
        <w:rPr>
          <w:rFonts w:ascii="Arial" w:eastAsia="Arial Unicode MS" w:hAnsi="Arial" w:cs="Arial"/>
          <w:sz w:val="24"/>
          <w:szCs w:val="24"/>
          <w:bdr w:val="nil"/>
          <w:lang w:val="es-ES"/>
        </w:rPr>
        <w:t xml:space="preserve">Ruvalcaba </w:t>
      </w:r>
      <w:r w:rsidR="00413309">
        <w:rPr>
          <w:rFonts w:ascii="Arial" w:eastAsia="Arial Unicode MS" w:hAnsi="Arial" w:cs="Arial"/>
          <w:sz w:val="24"/>
          <w:szCs w:val="24"/>
          <w:bdr w:val="nil"/>
          <w:lang w:val="es-ES"/>
        </w:rPr>
        <w:t>y</w:t>
      </w:r>
      <w:r w:rsidR="00B30D43">
        <w:rPr>
          <w:rFonts w:ascii="Arial" w:eastAsia="Arial Unicode MS" w:hAnsi="Arial" w:cs="Arial"/>
          <w:sz w:val="24"/>
          <w:szCs w:val="24"/>
          <w:bdr w:val="nil"/>
          <w:lang w:val="es-ES"/>
        </w:rPr>
        <w:t xml:space="preserve"> se obtiene respuesta a través del oficio 415/2019 suscrito por el Director del O</w:t>
      </w:r>
      <w:r w:rsidR="00FC0101">
        <w:rPr>
          <w:rFonts w:ascii="Arial" w:eastAsia="Arial Unicode MS" w:hAnsi="Arial" w:cs="Arial"/>
          <w:sz w:val="24"/>
          <w:szCs w:val="24"/>
          <w:bdr w:val="nil"/>
          <w:lang w:val="es-ES"/>
        </w:rPr>
        <w:t xml:space="preserve">PD </w:t>
      </w:r>
      <w:r w:rsidR="00433101">
        <w:rPr>
          <w:rFonts w:ascii="Arial" w:eastAsia="Arial Unicode MS" w:hAnsi="Arial" w:cs="Arial"/>
          <w:sz w:val="24"/>
          <w:szCs w:val="24"/>
          <w:bdr w:val="nil"/>
          <w:lang w:val="es-ES"/>
        </w:rPr>
        <w:t>SAPAZA</w:t>
      </w:r>
      <w:r w:rsidR="00FC0101">
        <w:rPr>
          <w:rFonts w:ascii="Arial" w:eastAsia="Arial Unicode MS" w:hAnsi="Arial" w:cs="Arial"/>
          <w:sz w:val="24"/>
          <w:szCs w:val="24"/>
          <w:bdr w:val="nil"/>
          <w:lang w:val="es-ES"/>
        </w:rPr>
        <w:t>, donde expresa</w:t>
      </w:r>
      <w:r w:rsidR="00B30D43">
        <w:rPr>
          <w:rFonts w:ascii="Arial" w:eastAsia="Arial Unicode MS" w:hAnsi="Arial" w:cs="Arial"/>
          <w:sz w:val="24"/>
          <w:szCs w:val="24"/>
          <w:bdr w:val="nil"/>
          <w:lang w:val="es-ES"/>
        </w:rPr>
        <w:t xml:space="preserve"> que el pozo en mención ya no es de utilidad. </w:t>
      </w:r>
    </w:p>
    <w:p w:rsidR="00A74678" w:rsidRPr="00B30D43" w:rsidRDefault="00A74678" w:rsidP="00637AE3">
      <w:pPr>
        <w:spacing w:after="0" w:line="240" w:lineRule="auto"/>
        <w:jc w:val="both"/>
        <w:rPr>
          <w:rFonts w:ascii="Arial" w:eastAsia="Arial Unicode MS" w:hAnsi="Arial" w:cs="Arial"/>
          <w:sz w:val="24"/>
          <w:szCs w:val="24"/>
          <w:bdr w:val="nil"/>
          <w:lang w:val="es-ES"/>
        </w:rPr>
      </w:pPr>
    </w:p>
    <w:p w:rsidR="00637AE3" w:rsidRPr="00F260F1" w:rsidRDefault="00637AE3" w:rsidP="00637AE3">
      <w:pPr>
        <w:spacing w:after="0" w:line="240" w:lineRule="auto"/>
        <w:jc w:val="both"/>
        <w:rPr>
          <w:rFonts w:ascii="Arial" w:eastAsia="Arial Unicode MS" w:hAnsi="Arial" w:cs="Arial"/>
          <w:sz w:val="24"/>
          <w:szCs w:val="24"/>
          <w:bdr w:val="nil"/>
        </w:rPr>
      </w:pPr>
      <w:r w:rsidRPr="00F260F1">
        <w:rPr>
          <w:rFonts w:ascii="Arial" w:eastAsia="Arial Unicode MS" w:hAnsi="Arial" w:cs="Arial"/>
          <w:sz w:val="24"/>
          <w:szCs w:val="24"/>
          <w:bdr w:val="nil"/>
        </w:rPr>
        <w:t>Por los motivos antes expuestos, la Comisión Edilicia Permanente de Hacienda Pública y Patrimonio Municipal dictamina bajo los siguientes;</w:t>
      </w:r>
    </w:p>
    <w:p w:rsidR="001C7CFE" w:rsidRPr="00F260F1" w:rsidRDefault="001C7CFE" w:rsidP="00637AE3">
      <w:pPr>
        <w:spacing w:after="0" w:line="240" w:lineRule="auto"/>
        <w:jc w:val="both"/>
        <w:rPr>
          <w:rFonts w:ascii="Arial" w:eastAsia="Arial Unicode MS" w:hAnsi="Arial" w:cs="Arial"/>
          <w:sz w:val="24"/>
          <w:szCs w:val="24"/>
          <w:bdr w:val="nil"/>
        </w:rPr>
      </w:pPr>
    </w:p>
    <w:p w:rsidR="0022799E" w:rsidRPr="00F260F1" w:rsidRDefault="0022799E" w:rsidP="00637AE3">
      <w:pPr>
        <w:spacing w:after="0" w:line="240" w:lineRule="auto"/>
        <w:jc w:val="both"/>
        <w:rPr>
          <w:rFonts w:ascii="Arial" w:eastAsia="Arial Unicode MS" w:hAnsi="Arial" w:cs="Arial"/>
          <w:sz w:val="24"/>
          <w:szCs w:val="24"/>
          <w:bdr w:val="nil"/>
        </w:rPr>
      </w:pPr>
    </w:p>
    <w:p w:rsidR="0022799E" w:rsidRPr="00F260F1" w:rsidRDefault="0022799E" w:rsidP="0022799E">
      <w:pPr>
        <w:spacing w:after="0" w:line="240" w:lineRule="auto"/>
        <w:jc w:val="center"/>
        <w:rPr>
          <w:rFonts w:ascii="Arial" w:eastAsia="Arial Unicode MS" w:hAnsi="Arial" w:cs="Arial"/>
          <w:b/>
          <w:sz w:val="28"/>
          <w:szCs w:val="24"/>
          <w:bdr w:val="nil"/>
          <w:lang w:val="es-ES"/>
        </w:rPr>
      </w:pPr>
      <w:r w:rsidRPr="00F260F1">
        <w:rPr>
          <w:rFonts w:ascii="Arial" w:eastAsia="Arial Unicode MS" w:hAnsi="Arial" w:cs="Arial"/>
          <w:b/>
          <w:sz w:val="28"/>
          <w:szCs w:val="24"/>
          <w:bdr w:val="nil"/>
          <w:lang w:val="es-ES"/>
        </w:rPr>
        <w:t>CONSIDERANDOS:</w:t>
      </w:r>
    </w:p>
    <w:p w:rsidR="001C7CFE" w:rsidRPr="00F260F1" w:rsidRDefault="001C7CFE" w:rsidP="0022799E">
      <w:pPr>
        <w:spacing w:after="0" w:line="240" w:lineRule="auto"/>
        <w:jc w:val="center"/>
        <w:rPr>
          <w:rFonts w:ascii="Arial" w:eastAsia="Arial Unicode MS" w:hAnsi="Arial" w:cs="Arial"/>
          <w:b/>
          <w:sz w:val="28"/>
          <w:szCs w:val="24"/>
          <w:bdr w:val="nil"/>
          <w:lang w:val="es-ES"/>
        </w:rPr>
      </w:pPr>
    </w:p>
    <w:p w:rsidR="0022799E" w:rsidRPr="00F260F1" w:rsidRDefault="0022799E" w:rsidP="00637AE3">
      <w:pPr>
        <w:spacing w:after="0" w:line="240" w:lineRule="auto"/>
        <w:jc w:val="both"/>
        <w:rPr>
          <w:rFonts w:ascii="Arial" w:eastAsia="Arial Unicode MS" w:hAnsi="Arial" w:cs="Arial"/>
          <w:sz w:val="24"/>
          <w:szCs w:val="24"/>
          <w:bdr w:val="nil"/>
          <w:lang w:val="es-ES"/>
        </w:rPr>
      </w:pPr>
    </w:p>
    <w:p w:rsidR="00637AE3" w:rsidRPr="00F260F1" w:rsidRDefault="00923650" w:rsidP="00637AE3">
      <w:pPr>
        <w:spacing w:after="0" w:line="240" w:lineRule="auto"/>
        <w:jc w:val="both"/>
        <w:rPr>
          <w:rFonts w:ascii="Arial" w:eastAsia="Arial Unicode MS" w:hAnsi="Arial" w:cs="Arial"/>
          <w:sz w:val="24"/>
          <w:szCs w:val="24"/>
          <w:bdr w:val="nil"/>
        </w:rPr>
      </w:pPr>
      <w:r w:rsidRPr="00F260F1">
        <w:rPr>
          <w:rFonts w:ascii="Arial" w:eastAsia="Arial Unicode MS" w:hAnsi="Arial" w:cs="Arial"/>
          <w:b/>
          <w:sz w:val="24"/>
          <w:szCs w:val="24"/>
          <w:bdr w:val="nil"/>
          <w:lang w:val="es-ES"/>
        </w:rPr>
        <w:t>1</w:t>
      </w:r>
      <w:r w:rsidR="00D45015" w:rsidRPr="00F260F1">
        <w:rPr>
          <w:rFonts w:ascii="Arial" w:eastAsia="Arial Unicode MS" w:hAnsi="Arial" w:cs="Arial"/>
          <w:b/>
          <w:sz w:val="24"/>
          <w:szCs w:val="24"/>
          <w:bdr w:val="nil"/>
        </w:rPr>
        <w:t>.-</w:t>
      </w:r>
      <w:r w:rsidR="00D45015" w:rsidRPr="00F260F1">
        <w:rPr>
          <w:rFonts w:ascii="Arial" w:eastAsia="Arial Unicode MS" w:hAnsi="Arial" w:cs="Arial"/>
          <w:sz w:val="24"/>
          <w:szCs w:val="24"/>
          <w:bdr w:val="nil"/>
        </w:rPr>
        <w:t xml:space="preserve"> </w:t>
      </w:r>
      <w:r w:rsidR="00F81381" w:rsidRPr="00F260F1">
        <w:rPr>
          <w:rFonts w:ascii="Arial" w:eastAsia="Arial Unicode MS" w:hAnsi="Arial" w:cs="Arial"/>
          <w:sz w:val="24"/>
          <w:szCs w:val="24"/>
          <w:bdr w:val="nil"/>
        </w:rPr>
        <w:t xml:space="preserve">Esta Comisión Edilicia de Hacienda Pública y de Patrimonio Municipal, es competente para analizar y dictaminar respecto a la viabilidad de </w:t>
      </w:r>
      <w:r w:rsidR="006D6BFA" w:rsidRPr="00F260F1">
        <w:rPr>
          <w:rFonts w:ascii="Arial" w:eastAsia="Arial Unicode MS" w:hAnsi="Arial" w:cs="Arial"/>
          <w:sz w:val="24"/>
          <w:szCs w:val="24"/>
          <w:bdr w:val="nil"/>
        </w:rPr>
        <w:t>que este Municipio, venda por medio de subasta pública el bien inmueble</w:t>
      </w:r>
      <w:r w:rsidR="00F81381" w:rsidRPr="00F260F1">
        <w:rPr>
          <w:rFonts w:ascii="Arial" w:eastAsia="Arial Unicode MS" w:hAnsi="Arial" w:cs="Arial"/>
          <w:sz w:val="24"/>
          <w:szCs w:val="24"/>
          <w:bdr w:val="nil"/>
        </w:rPr>
        <w:t xml:space="preserve"> descrito en supra líneas, de conformidad con lo establecido en el artículo </w:t>
      </w:r>
      <w:r w:rsidR="00EE7FE9" w:rsidRPr="00F260F1">
        <w:rPr>
          <w:rFonts w:ascii="Arial" w:eastAsia="Arial Unicode MS" w:hAnsi="Arial" w:cs="Arial"/>
          <w:sz w:val="24"/>
          <w:szCs w:val="24"/>
          <w:bdr w:val="nil"/>
        </w:rPr>
        <w:t>60 del Reglamento Interior del Ayuntamiento de Zapotlán el Grande, Jalisco.</w:t>
      </w:r>
    </w:p>
    <w:p w:rsidR="00637AE3" w:rsidRPr="00F260F1" w:rsidRDefault="00637AE3" w:rsidP="00637AE3">
      <w:pPr>
        <w:spacing w:after="0" w:line="240" w:lineRule="auto"/>
        <w:jc w:val="both"/>
        <w:rPr>
          <w:rFonts w:ascii="Arial" w:eastAsia="Arial Unicode MS" w:hAnsi="Arial" w:cs="Arial"/>
          <w:sz w:val="24"/>
          <w:szCs w:val="24"/>
          <w:bdr w:val="nil"/>
        </w:rPr>
      </w:pPr>
    </w:p>
    <w:p w:rsidR="006E7288" w:rsidRPr="00F260F1" w:rsidRDefault="00637AE3"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 xml:space="preserve">2.- </w:t>
      </w:r>
      <w:r w:rsidR="006D6BFA" w:rsidRPr="00F260F1">
        <w:rPr>
          <w:rFonts w:ascii="Arial" w:eastAsia="Arial Unicode MS" w:hAnsi="Arial" w:cs="Arial"/>
          <w:sz w:val="24"/>
          <w:szCs w:val="24"/>
          <w:bdr w:val="nil"/>
          <w:lang w:val="es-ES"/>
        </w:rPr>
        <w:t>Que el artículo 179 de la Ley de Hacienda Municipal del Estado de Jalisco establece que:</w:t>
      </w:r>
    </w:p>
    <w:p w:rsidR="006D6BFA" w:rsidRPr="00F260F1" w:rsidRDefault="006D6BFA" w:rsidP="00637AE3">
      <w:pPr>
        <w:spacing w:after="0" w:line="240" w:lineRule="auto"/>
        <w:jc w:val="both"/>
        <w:rPr>
          <w:rFonts w:ascii="Arial" w:eastAsia="Arial Unicode MS" w:hAnsi="Arial" w:cs="Arial"/>
          <w:sz w:val="24"/>
          <w:szCs w:val="24"/>
          <w:bdr w:val="nil"/>
          <w:lang w:val="es-ES"/>
        </w:rPr>
      </w:pPr>
    </w:p>
    <w:p w:rsidR="006D6BFA" w:rsidRPr="006D6BFA" w:rsidRDefault="006D6BFA" w:rsidP="006D6BFA">
      <w:pPr>
        <w:spacing w:after="0" w:line="240" w:lineRule="auto"/>
        <w:jc w:val="both"/>
        <w:rPr>
          <w:rFonts w:ascii="Arial" w:eastAsia="Times New Roman" w:hAnsi="Arial" w:cs="Arial"/>
          <w:i/>
          <w:szCs w:val="20"/>
          <w:lang w:val="es-ES_tradnl" w:eastAsia="es-ES"/>
        </w:rPr>
      </w:pPr>
      <w:r w:rsidRPr="00F260F1">
        <w:rPr>
          <w:rFonts w:ascii="Arial" w:eastAsia="Times New Roman" w:hAnsi="Arial" w:cs="Arial"/>
          <w:b/>
          <w:i/>
          <w:szCs w:val="20"/>
          <w:lang w:val="es-ES_tradnl" w:eastAsia="es-ES"/>
        </w:rPr>
        <w:t>“</w:t>
      </w:r>
      <w:r w:rsidRPr="006D6BFA">
        <w:rPr>
          <w:rFonts w:ascii="Arial" w:eastAsia="Times New Roman" w:hAnsi="Arial" w:cs="Arial"/>
          <w:b/>
          <w:i/>
          <w:szCs w:val="20"/>
          <w:lang w:val="es-ES_tradnl" w:eastAsia="es-ES"/>
        </w:rPr>
        <w:t>Artículo 179.</w:t>
      </w:r>
      <w:r w:rsidRPr="006D6BFA">
        <w:rPr>
          <w:rFonts w:ascii="Arial" w:eastAsia="Times New Roman" w:hAnsi="Arial" w:cs="Arial"/>
          <w:i/>
          <w:szCs w:val="20"/>
          <w:lang w:val="es-ES_tradnl" w:eastAsia="es-ES"/>
        </w:rPr>
        <w:t xml:space="preserve"> Sólo podrán ser enajenados o donados los bienes inmuebles municipales, en los casos previstos en las leyes, o cuando resulten antieconómicos en su conservación y mantenimiento</w:t>
      </w:r>
      <w:r w:rsidRPr="006D6BFA">
        <w:rPr>
          <w:rFonts w:ascii="Arial" w:eastAsia="Times New Roman" w:hAnsi="Arial" w:cs="Arial"/>
          <w:i/>
          <w:spacing w:val="-3"/>
          <w:szCs w:val="20"/>
          <w:lang w:val="es-ES_tradnl" w:eastAsia="es-ES"/>
        </w:rPr>
        <w:t xml:space="preserve"> conforme a las siguientes bases:</w:t>
      </w:r>
      <w:r w:rsidRPr="006D6BFA">
        <w:rPr>
          <w:rFonts w:ascii="Arial" w:eastAsia="Times New Roman" w:hAnsi="Arial" w:cs="Arial"/>
          <w:i/>
          <w:szCs w:val="20"/>
          <w:lang w:val="es-ES_tradnl" w:eastAsia="es-ES"/>
        </w:rPr>
        <w:t xml:space="preserve"> </w:t>
      </w:r>
    </w:p>
    <w:p w:rsidR="006D6BFA" w:rsidRPr="006D6BFA" w:rsidRDefault="006D6BFA" w:rsidP="006D6BFA">
      <w:pPr>
        <w:spacing w:after="0" w:line="240" w:lineRule="auto"/>
        <w:jc w:val="both"/>
        <w:rPr>
          <w:rFonts w:ascii="Arial" w:eastAsia="Times New Roman" w:hAnsi="Arial" w:cs="Arial"/>
          <w:i/>
          <w:szCs w:val="20"/>
          <w:lang w:val="es-ES_tradnl" w:eastAsia="es-ES"/>
        </w:rPr>
      </w:pPr>
    </w:p>
    <w:p w:rsidR="006D6BFA" w:rsidRPr="006D6BFA" w:rsidRDefault="006D6BFA" w:rsidP="006D6BFA">
      <w:pPr>
        <w:spacing w:after="0" w:line="240" w:lineRule="auto"/>
        <w:jc w:val="both"/>
        <w:rPr>
          <w:rFonts w:ascii="Arial" w:eastAsia="Times New Roman" w:hAnsi="Arial" w:cs="Arial"/>
          <w:i/>
          <w:szCs w:val="20"/>
          <w:lang w:val="es-ES_tradnl" w:eastAsia="es-ES"/>
        </w:rPr>
      </w:pPr>
      <w:r w:rsidRPr="006D6BFA">
        <w:rPr>
          <w:rFonts w:ascii="Arial" w:eastAsia="Times New Roman" w:hAnsi="Arial" w:cs="Arial"/>
          <w:i/>
          <w:szCs w:val="20"/>
          <w:lang w:val="es-ES_tradnl" w:eastAsia="es-ES"/>
        </w:rPr>
        <w:t>I. La Tesorería Municipal formará un expediente en que se acredite que existen las condiciones antes mencionadas y en él incluirá el proyecto para una construcción inmobiliaria o para la ejecución de obras de necesidad o utilidad notorias, a las que invariablemente destinará, el producto de la enajenación, si fuera el caso;</w:t>
      </w:r>
    </w:p>
    <w:p w:rsidR="006D6BFA" w:rsidRPr="006D6BFA" w:rsidRDefault="006D6BFA" w:rsidP="006D6BFA">
      <w:pPr>
        <w:spacing w:after="0" w:line="240" w:lineRule="auto"/>
        <w:jc w:val="both"/>
        <w:rPr>
          <w:rFonts w:ascii="Arial" w:eastAsia="Times New Roman" w:hAnsi="Arial" w:cs="Arial"/>
          <w:i/>
          <w:szCs w:val="20"/>
          <w:lang w:val="es-ES_tradnl" w:eastAsia="es-ES"/>
        </w:rPr>
      </w:pPr>
    </w:p>
    <w:p w:rsidR="006D6BFA" w:rsidRPr="006D6BFA" w:rsidRDefault="006D6BFA" w:rsidP="006D6BFA">
      <w:pPr>
        <w:spacing w:after="0" w:line="240" w:lineRule="auto"/>
        <w:jc w:val="both"/>
        <w:rPr>
          <w:rFonts w:ascii="Arial" w:eastAsia="Times New Roman" w:hAnsi="Arial" w:cs="Arial"/>
          <w:i/>
          <w:szCs w:val="20"/>
          <w:lang w:val="es-ES_tradnl" w:eastAsia="es-ES"/>
        </w:rPr>
      </w:pPr>
      <w:r w:rsidRPr="006D6BFA">
        <w:rPr>
          <w:rFonts w:ascii="Arial" w:eastAsia="Times New Roman" w:hAnsi="Arial" w:cs="Arial"/>
          <w:i/>
          <w:szCs w:val="20"/>
          <w:lang w:val="es-ES_tradnl" w:eastAsia="es-ES"/>
        </w:rPr>
        <w:t xml:space="preserve">II. Cuando la enajenación sea a través de compraventa, ésta se efectuará en subasta pública que anuncie y presida el Tesorero Municipal, con citación del Síndico del Ayuntamiento; </w:t>
      </w:r>
    </w:p>
    <w:p w:rsidR="006D6BFA" w:rsidRPr="00F260F1" w:rsidRDefault="006D6BFA" w:rsidP="00637AE3">
      <w:pPr>
        <w:spacing w:after="0" w:line="240" w:lineRule="auto"/>
        <w:jc w:val="both"/>
        <w:rPr>
          <w:rFonts w:ascii="Arial" w:eastAsia="Arial Unicode MS" w:hAnsi="Arial" w:cs="Arial"/>
          <w:sz w:val="24"/>
          <w:szCs w:val="24"/>
          <w:bdr w:val="nil"/>
          <w:lang w:val="es-ES"/>
        </w:rPr>
      </w:pPr>
    </w:p>
    <w:p w:rsidR="006D6BFA" w:rsidRPr="00F260F1" w:rsidRDefault="006D6BFA"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sz w:val="24"/>
          <w:szCs w:val="24"/>
          <w:bdr w:val="nil"/>
          <w:lang w:val="es-ES"/>
        </w:rPr>
        <w:t>…………”</w:t>
      </w:r>
    </w:p>
    <w:p w:rsidR="006D6BFA" w:rsidRPr="00F260F1" w:rsidRDefault="006D6BFA" w:rsidP="00637AE3">
      <w:pPr>
        <w:spacing w:after="0" w:line="240" w:lineRule="auto"/>
        <w:jc w:val="both"/>
        <w:rPr>
          <w:rFonts w:ascii="Arial" w:eastAsia="Arial Unicode MS" w:hAnsi="Arial" w:cs="Arial"/>
          <w:sz w:val="24"/>
          <w:szCs w:val="24"/>
          <w:bdr w:val="nil"/>
          <w:lang w:val="es-ES"/>
        </w:rPr>
      </w:pPr>
    </w:p>
    <w:p w:rsidR="006D6BFA" w:rsidRPr="00F260F1" w:rsidRDefault="006D6BFA"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 xml:space="preserve">3.- </w:t>
      </w:r>
      <w:r w:rsidRPr="00F260F1">
        <w:rPr>
          <w:rFonts w:ascii="Arial" w:eastAsia="Arial Unicode MS" w:hAnsi="Arial" w:cs="Arial"/>
          <w:sz w:val="24"/>
          <w:szCs w:val="24"/>
          <w:bdr w:val="nil"/>
          <w:lang w:val="es-ES"/>
        </w:rPr>
        <w:t xml:space="preserve">Por su parte, el artículo </w:t>
      </w:r>
      <w:r w:rsidR="00F260F1" w:rsidRPr="00F260F1">
        <w:rPr>
          <w:rFonts w:ascii="Arial" w:eastAsia="Arial Unicode MS" w:hAnsi="Arial" w:cs="Arial"/>
          <w:sz w:val="24"/>
          <w:szCs w:val="24"/>
          <w:bdr w:val="nil"/>
          <w:lang w:val="es-ES"/>
        </w:rPr>
        <w:t>88 de la Ley del Gobierno y la Administración Pública Municipal dispone:</w:t>
      </w:r>
    </w:p>
    <w:p w:rsidR="00F260F1" w:rsidRPr="00F260F1" w:rsidRDefault="00F260F1" w:rsidP="00637AE3">
      <w:pPr>
        <w:spacing w:after="0" w:line="240" w:lineRule="auto"/>
        <w:jc w:val="both"/>
        <w:rPr>
          <w:rFonts w:ascii="Arial" w:eastAsia="Arial Unicode MS" w:hAnsi="Arial" w:cs="Arial"/>
          <w:sz w:val="24"/>
          <w:szCs w:val="24"/>
          <w:bdr w:val="nil"/>
          <w:lang w:val="es-ES"/>
        </w:rPr>
      </w:pPr>
    </w:p>
    <w:p w:rsidR="00F260F1" w:rsidRPr="00F260F1" w:rsidRDefault="00F260F1" w:rsidP="00F260F1">
      <w:pPr>
        <w:spacing w:after="0" w:line="240" w:lineRule="auto"/>
        <w:jc w:val="both"/>
        <w:rPr>
          <w:rFonts w:ascii="Arial" w:eastAsia="Times New Roman" w:hAnsi="Arial" w:cs="Arial"/>
          <w:i/>
          <w:snapToGrid w:val="0"/>
          <w:szCs w:val="20"/>
          <w:lang w:eastAsia="es-ES"/>
        </w:rPr>
      </w:pPr>
      <w:r w:rsidRPr="00F260F1">
        <w:rPr>
          <w:rFonts w:ascii="Arial" w:eastAsia="Times New Roman" w:hAnsi="Arial" w:cs="Arial"/>
          <w:b/>
          <w:bCs/>
          <w:i/>
          <w:snapToGrid w:val="0"/>
          <w:szCs w:val="20"/>
          <w:lang w:eastAsia="es-ES"/>
        </w:rPr>
        <w:t>“Artículo 88</w:t>
      </w:r>
      <w:r w:rsidRPr="00F260F1">
        <w:rPr>
          <w:rFonts w:ascii="Arial" w:eastAsia="Times New Roman" w:hAnsi="Arial" w:cs="Arial"/>
          <w:i/>
          <w:snapToGrid w:val="0"/>
          <w:szCs w:val="20"/>
          <w:lang w:eastAsia="es-ES"/>
        </w:rPr>
        <w:t>. Cuando se trate de actos de transmisión de dominio de los bienes del dominio privado de los municipios, se deben observar los requisitos siguientes:</w:t>
      </w:r>
    </w:p>
    <w:p w:rsidR="00F260F1" w:rsidRPr="00F260F1" w:rsidRDefault="00F260F1" w:rsidP="00F260F1">
      <w:pPr>
        <w:spacing w:after="0" w:line="240" w:lineRule="auto"/>
        <w:jc w:val="both"/>
        <w:rPr>
          <w:rFonts w:ascii="Arial" w:eastAsia="Times New Roman" w:hAnsi="Arial" w:cs="Arial"/>
          <w:i/>
          <w:snapToGrid w:val="0"/>
          <w:szCs w:val="20"/>
          <w:lang w:eastAsia="es-ES"/>
        </w:rPr>
      </w:pPr>
    </w:p>
    <w:p w:rsidR="00F260F1" w:rsidRPr="00F260F1" w:rsidRDefault="00F260F1" w:rsidP="00F260F1">
      <w:pPr>
        <w:spacing w:after="0" w:line="240" w:lineRule="auto"/>
        <w:jc w:val="both"/>
        <w:rPr>
          <w:rFonts w:ascii="Arial" w:eastAsia="Times New Roman" w:hAnsi="Arial" w:cs="Arial"/>
          <w:i/>
          <w:snapToGrid w:val="0"/>
          <w:szCs w:val="20"/>
          <w:lang w:eastAsia="es-ES"/>
        </w:rPr>
      </w:pPr>
      <w:r w:rsidRPr="00F260F1">
        <w:rPr>
          <w:rFonts w:ascii="Arial" w:eastAsia="Times New Roman" w:hAnsi="Arial" w:cs="Arial"/>
          <w:i/>
          <w:snapToGrid w:val="0"/>
          <w:szCs w:val="20"/>
          <w:lang w:eastAsia="es-ES"/>
        </w:rPr>
        <w:t>I. Justificar que la enajenación o donación responde a la ejecución de un programa cuyo objetivo sea la satisfacción de un servicio público, pago de deuda o cualquier otro fin que busque el interés general;</w:t>
      </w:r>
    </w:p>
    <w:p w:rsidR="00F260F1" w:rsidRPr="00F260F1" w:rsidRDefault="00F260F1" w:rsidP="00F260F1">
      <w:pPr>
        <w:spacing w:after="0" w:line="240" w:lineRule="auto"/>
        <w:jc w:val="both"/>
        <w:rPr>
          <w:rFonts w:ascii="Arial" w:eastAsia="Times New Roman" w:hAnsi="Arial" w:cs="Arial"/>
          <w:i/>
          <w:snapToGrid w:val="0"/>
          <w:szCs w:val="20"/>
          <w:lang w:eastAsia="es-ES"/>
        </w:rPr>
      </w:pPr>
    </w:p>
    <w:p w:rsidR="00F260F1" w:rsidRPr="00F260F1" w:rsidRDefault="00F260F1" w:rsidP="00F260F1">
      <w:pPr>
        <w:spacing w:after="0" w:line="240" w:lineRule="auto"/>
        <w:jc w:val="both"/>
        <w:rPr>
          <w:rFonts w:ascii="Arial" w:eastAsia="Times New Roman" w:hAnsi="Arial" w:cs="Arial"/>
          <w:i/>
          <w:snapToGrid w:val="0"/>
          <w:szCs w:val="20"/>
          <w:lang w:eastAsia="es-ES"/>
        </w:rPr>
      </w:pPr>
      <w:r w:rsidRPr="00F260F1">
        <w:rPr>
          <w:rFonts w:ascii="Arial" w:eastAsia="Times New Roman" w:hAnsi="Arial" w:cs="Arial"/>
          <w:i/>
          <w:snapToGrid w:val="0"/>
          <w:szCs w:val="20"/>
          <w:lang w:eastAsia="es-ES"/>
        </w:rPr>
        <w:t>II. Realizar, en el caso de venta, un avalúo por perito autorizado, para determinar el precio mínimo de venta; y</w:t>
      </w:r>
    </w:p>
    <w:p w:rsidR="00F260F1" w:rsidRPr="00F260F1" w:rsidRDefault="00F260F1" w:rsidP="00F260F1">
      <w:pPr>
        <w:spacing w:after="0" w:line="240" w:lineRule="auto"/>
        <w:jc w:val="both"/>
        <w:rPr>
          <w:rFonts w:ascii="Arial" w:eastAsia="Times New Roman" w:hAnsi="Arial" w:cs="Arial"/>
          <w:i/>
          <w:snapToGrid w:val="0"/>
          <w:szCs w:val="20"/>
          <w:lang w:eastAsia="es-ES"/>
        </w:rPr>
      </w:pPr>
    </w:p>
    <w:p w:rsidR="00F260F1" w:rsidRPr="00F260F1" w:rsidRDefault="00F260F1" w:rsidP="00F260F1">
      <w:pPr>
        <w:spacing w:after="0" w:line="240" w:lineRule="auto"/>
        <w:jc w:val="both"/>
        <w:rPr>
          <w:rFonts w:ascii="Arial" w:eastAsia="Times New Roman" w:hAnsi="Arial" w:cs="Arial"/>
          <w:i/>
          <w:snapToGrid w:val="0"/>
          <w:szCs w:val="20"/>
          <w:lang w:eastAsia="es-ES"/>
        </w:rPr>
      </w:pPr>
      <w:r w:rsidRPr="00F260F1">
        <w:rPr>
          <w:rFonts w:ascii="Arial" w:eastAsia="Times New Roman" w:hAnsi="Arial" w:cs="Arial"/>
          <w:i/>
          <w:snapToGrid w:val="0"/>
          <w:szCs w:val="20"/>
          <w:lang w:eastAsia="es-ES"/>
        </w:rPr>
        <w:t>III. Realizar la enajenación mediante subasta pública al mejor postor, salvo que por las circunstancias que rodeen al acto, el Ayuntamiento decida por mayoría calificada cualquier otro procedimiento de enajenación.</w:t>
      </w:r>
    </w:p>
    <w:p w:rsidR="00F260F1" w:rsidRDefault="00F260F1" w:rsidP="00F260F1">
      <w:pPr>
        <w:spacing w:after="0" w:line="240" w:lineRule="auto"/>
        <w:jc w:val="both"/>
        <w:rPr>
          <w:rFonts w:ascii="Arial" w:eastAsia="Times New Roman" w:hAnsi="Arial" w:cs="Arial"/>
          <w:i/>
          <w:snapToGrid w:val="0"/>
          <w:szCs w:val="20"/>
          <w:lang w:eastAsia="es-ES"/>
        </w:rPr>
      </w:pPr>
      <w:r w:rsidRPr="00F260F1">
        <w:rPr>
          <w:rFonts w:ascii="Arial" w:eastAsia="Times New Roman" w:hAnsi="Arial" w:cs="Arial"/>
          <w:i/>
          <w:snapToGrid w:val="0"/>
          <w:szCs w:val="20"/>
          <w:lang w:eastAsia="es-ES"/>
        </w:rPr>
        <w:t>……..”</w:t>
      </w:r>
    </w:p>
    <w:p w:rsidR="00F260F1" w:rsidRDefault="00F260F1" w:rsidP="00F260F1">
      <w:pPr>
        <w:spacing w:after="0" w:line="240" w:lineRule="auto"/>
        <w:jc w:val="both"/>
        <w:rPr>
          <w:rFonts w:ascii="Arial" w:eastAsia="Times New Roman" w:hAnsi="Arial" w:cs="Arial"/>
          <w:i/>
          <w:snapToGrid w:val="0"/>
          <w:szCs w:val="20"/>
          <w:lang w:eastAsia="es-ES"/>
        </w:rPr>
      </w:pPr>
    </w:p>
    <w:p w:rsidR="00F260F1" w:rsidRDefault="00F260F1" w:rsidP="00F260F1">
      <w:pPr>
        <w:spacing w:after="0" w:line="240" w:lineRule="auto"/>
        <w:jc w:val="both"/>
        <w:rPr>
          <w:rFonts w:ascii="Arial" w:eastAsia="Times New Roman" w:hAnsi="Arial" w:cs="Arial"/>
          <w:snapToGrid w:val="0"/>
          <w:sz w:val="24"/>
          <w:szCs w:val="20"/>
          <w:lang w:eastAsia="es-ES"/>
        </w:rPr>
      </w:pPr>
      <w:r>
        <w:rPr>
          <w:rFonts w:ascii="Arial" w:eastAsia="Times New Roman" w:hAnsi="Arial" w:cs="Arial"/>
          <w:b/>
          <w:snapToGrid w:val="0"/>
          <w:sz w:val="24"/>
          <w:szCs w:val="20"/>
          <w:lang w:eastAsia="es-ES"/>
        </w:rPr>
        <w:t xml:space="preserve">4.- </w:t>
      </w:r>
      <w:r>
        <w:rPr>
          <w:rFonts w:ascii="Arial" w:eastAsia="Times New Roman" w:hAnsi="Arial" w:cs="Arial"/>
          <w:snapToGrid w:val="0"/>
          <w:sz w:val="24"/>
          <w:szCs w:val="20"/>
          <w:lang w:eastAsia="es-ES"/>
        </w:rPr>
        <w:t>Derivado de lo anterior, resulta de suma importancia resaltar la necesidad de que este Municipio se allegue de recursos económicos para solventar los requerimientos de pago por juicios laborales, algunos inclusive con carácter de requerimiento inminente, situación que se ajusta a lo establecido en la fracción I del artículo 88 de la Ley del Gobierno y de la Administración Pública Municipal del Estado de Jalisco</w:t>
      </w:r>
      <w:r w:rsidR="001F6121">
        <w:rPr>
          <w:rFonts w:ascii="Arial" w:eastAsia="Times New Roman" w:hAnsi="Arial" w:cs="Arial"/>
          <w:snapToGrid w:val="0"/>
          <w:sz w:val="24"/>
          <w:szCs w:val="20"/>
          <w:lang w:eastAsia="es-ES"/>
        </w:rPr>
        <w:t xml:space="preserve">. Por lo tanto, la contraprestación que se reciba por el concepto del acto de compraventa del bien inmueble materia del presente dictamen, sería ingresada en la Hacienda Municipal en la </w:t>
      </w:r>
      <w:r w:rsidR="001F6121" w:rsidRPr="00234A5E">
        <w:rPr>
          <w:rFonts w:ascii="Arial" w:eastAsia="Times New Roman" w:hAnsi="Arial" w:cs="Arial"/>
          <w:snapToGrid w:val="0"/>
          <w:sz w:val="24"/>
          <w:szCs w:val="20"/>
          <w:lang w:eastAsia="es-ES"/>
        </w:rPr>
        <w:t xml:space="preserve">partida número </w:t>
      </w:r>
      <w:r w:rsidR="00EF3A8A" w:rsidRPr="00234A5E">
        <w:rPr>
          <w:rFonts w:ascii="Arial" w:eastAsia="Times New Roman" w:hAnsi="Arial" w:cs="Arial"/>
          <w:snapToGrid w:val="0"/>
          <w:sz w:val="24"/>
          <w:szCs w:val="20"/>
          <w:lang w:eastAsia="es-ES"/>
        </w:rPr>
        <w:t>394 “Sentencias y Resoluciones por autoridad competente”</w:t>
      </w:r>
      <w:r w:rsidR="001F6121" w:rsidRPr="00234A5E">
        <w:rPr>
          <w:rFonts w:ascii="Arial" w:eastAsia="Times New Roman" w:hAnsi="Arial" w:cs="Arial"/>
          <w:snapToGrid w:val="0"/>
          <w:sz w:val="24"/>
          <w:szCs w:val="20"/>
          <w:lang w:eastAsia="es-ES"/>
        </w:rPr>
        <w:t>,</w:t>
      </w:r>
      <w:r w:rsidR="001F6121">
        <w:rPr>
          <w:rFonts w:ascii="Arial" w:eastAsia="Times New Roman" w:hAnsi="Arial" w:cs="Arial"/>
          <w:snapToGrid w:val="0"/>
          <w:sz w:val="24"/>
          <w:szCs w:val="20"/>
          <w:lang w:eastAsia="es-ES"/>
        </w:rPr>
        <w:t xml:space="preserve"> fondos que serán invariablemente utilizados para el pago de los requerimientos laborales y administrativos.</w:t>
      </w:r>
    </w:p>
    <w:p w:rsidR="001F6121" w:rsidRDefault="001F6121" w:rsidP="00F260F1">
      <w:pPr>
        <w:spacing w:after="0" w:line="240" w:lineRule="auto"/>
        <w:jc w:val="both"/>
        <w:rPr>
          <w:rFonts w:ascii="Arial" w:eastAsia="Times New Roman" w:hAnsi="Arial" w:cs="Arial"/>
          <w:snapToGrid w:val="0"/>
          <w:sz w:val="24"/>
          <w:szCs w:val="20"/>
          <w:lang w:eastAsia="es-ES"/>
        </w:rPr>
      </w:pPr>
    </w:p>
    <w:p w:rsidR="00F260F1" w:rsidRPr="00F260F1" w:rsidRDefault="001F6121" w:rsidP="00637AE3">
      <w:pPr>
        <w:spacing w:after="0" w:line="240" w:lineRule="auto"/>
        <w:jc w:val="both"/>
        <w:rPr>
          <w:rFonts w:ascii="Arial" w:eastAsia="Arial Unicode MS" w:hAnsi="Arial" w:cs="Arial"/>
          <w:sz w:val="24"/>
          <w:szCs w:val="24"/>
          <w:bdr w:val="nil"/>
          <w:lang w:val="es-ES"/>
        </w:rPr>
      </w:pPr>
      <w:r>
        <w:rPr>
          <w:rFonts w:ascii="Arial" w:eastAsia="Times New Roman" w:hAnsi="Arial" w:cs="Arial"/>
          <w:b/>
          <w:snapToGrid w:val="0"/>
          <w:sz w:val="24"/>
          <w:szCs w:val="20"/>
          <w:lang w:eastAsia="es-ES"/>
        </w:rPr>
        <w:t xml:space="preserve">5.- </w:t>
      </w:r>
      <w:r>
        <w:rPr>
          <w:rFonts w:ascii="Arial" w:eastAsia="Times New Roman" w:hAnsi="Arial" w:cs="Arial"/>
          <w:snapToGrid w:val="0"/>
          <w:sz w:val="24"/>
          <w:szCs w:val="20"/>
          <w:lang w:eastAsia="es-ES"/>
        </w:rPr>
        <w:t>Dado que el avalúo realizado por perito autorizado arroja un valor comercial mínimo de $1’620,000.00 (UN MILLON SEISCIENTOS VEINTE MIL PESOS 00/100 M.N.), se considera que es viable aprobar la venta del inmueble descrito en supra líneas y basados en el avalúo de referencia, fijar como precio mínimo de venta en subast</w:t>
      </w:r>
      <w:r w:rsidR="00F14616">
        <w:rPr>
          <w:rFonts w:ascii="Arial" w:eastAsia="Times New Roman" w:hAnsi="Arial" w:cs="Arial"/>
          <w:snapToGrid w:val="0"/>
          <w:sz w:val="24"/>
          <w:szCs w:val="20"/>
          <w:lang w:eastAsia="es-ES"/>
        </w:rPr>
        <w:t>a</w:t>
      </w:r>
      <w:r>
        <w:rPr>
          <w:rFonts w:ascii="Arial" w:eastAsia="Times New Roman" w:hAnsi="Arial" w:cs="Arial"/>
          <w:snapToGrid w:val="0"/>
          <w:sz w:val="24"/>
          <w:szCs w:val="20"/>
          <w:lang w:eastAsia="es-ES"/>
        </w:rPr>
        <w:t xml:space="preserve"> pública</w:t>
      </w:r>
      <w:r w:rsidR="00F14616">
        <w:rPr>
          <w:rFonts w:ascii="Arial" w:eastAsia="Times New Roman" w:hAnsi="Arial" w:cs="Arial"/>
          <w:snapToGrid w:val="0"/>
          <w:sz w:val="24"/>
          <w:szCs w:val="20"/>
          <w:lang w:eastAsia="es-ES"/>
        </w:rPr>
        <w:t xml:space="preserve"> precisamente</w:t>
      </w:r>
      <w:r>
        <w:rPr>
          <w:rFonts w:ascii="Arial" w:eastAsia="Times New Roman" w:hAnsi="Arial" w:cs="Arial"/>
          <w:snapToGrid w:val="0"/>
          <w:sz w:val="24"/>
          <w:szCs w:val="20"/>
          <w:lang w:eastAsia="es-ES"/>
        </w:rPr>
        <w:t xml:space="preserve"> </w:t>
      </w:r>
      <w:r w:rsidRPr="00F14616">
        <w:rPr>
          <w:rFonts w:ascii="Arial" w:eastAsia="Times New Roman" w:hAnsi="Arial" w:cs="Arial"/>
          <w:snapToGrid w:val="0"/>
          <w:sz w:val="24"/>
          <w:szCs w:val="20"/>
          <w:lang w:eastAsia="es-ES"/>
        </w:rPr>
        <w:t xml:space="preserve">la cantidad de </w:t>
      </w:r>
      <w:r w:rsidR="007E5C07" w:rsidRPr="00F14616">
        <w:rPr>
          <w:rFonts w:ascii="Arial" w:eastAsia="Times New Roman" w:hAnsi="Arial" w:cs="Arial"/>
          <w:snapToGrid w:val="0"/>
          <w:sz w:val="24"/>
          <w:szCs w:val="20"/>
          <w:lang w:eastAsia="es-ES"/>
        </w:rPr>
        <w:t>$1’620,000.00 (UN MILLON SEISCIENTOS VEINTE MIL PESOS 00/100 M.N.)</w:t>
      </w:r>
      <w:r w:rsidR="003001E2" w:rsidRPr="00F14616">
        <w:rPr>
          <w:rFonts w:ascii="Arial" w:eastAsia="Times New Roman" w:hAnsi="Arial" w:cs="Arial"/>
          <w:snapToGrid w:val="0"/>
          <w:sz w:val="24"/>
          <w:szCs w:val="20"/>
          <w:lang w:eastAsia="es-ES"/>
        </w:rPr>
        <w:t>;</w:t>
      </w:r>
      <w:r w:rsidR="003001E2">
        <w:rPr>
          <w:rFonts w:ascii="Arial" w:eastAsia="Times New Roman" w:hAnsi="Arial" w:cs="Arial"/>
          <w:snapToGrid w:val="0"/>
          <w:sz w:val="24"/>
          <w:szCs w:val="20"/>
          <w:lang w:eastAsia="es-ES"/>
        </w:rPr>
        <w:t xml:space="preserve"> indicándose que una vez realizada la almoneda y concretado el acto jurídico, la contraprestación que reciba este Municipio se destine en su totalidad a la partida </w:t>
      </w:r>
      <w:r w:rsidR="00234A5E" w:rsidRPr="00234A5E">
        <w:rPr>
          <w:rFonts w:ascii="Arial" w:eastAsia="Times New Roman" w:hAnsi="Arial" w:cs="Arial"/>
          <w:snapToGrid w:val="0"/>
          <w:sz w:val="24"/>
          <w:szCs w:val="20"/>
          <w:lang w:eastAsia="es-ES"/>
        </w:rPr>
        <w:t>394 “Sentencias y Resoluciones por autoridad competente”</w:t>
      </w:r>
      <w:r w:rsidR="00234A5E">
        <w:rPr>
          <w:rFonts w:ascii="Arial" w:eastAsia="Times New Roman" w:hAnsi="Arial" w:cs="Arial"/>
          <w:snapToGrid w:val="0"/>
          <w:sz w:val="24"/>
          <w:szCs w:val="20"/>
          <w:lang w:eastAsia="es-ES"/>
        </w:rPr>
        <w:t xml:space="preserve"> </w:t>
      </w:r>
      <w:r w:rsidR="003001E2">
        <w:rPr>
          <w:rFonts w:ascii="Arial" w:eastAsia="Times New Roman" w:hAnsi="Arial" w:cs="Arial"/>
          <w:snapToGrid w:val="0"/>
          <w:sz w:val="24"/>
          <w:szCs w:val="20"/>
          <w:lang w:eastAsia="es-ES"/>
        </w:rPr>
        <w:t xml:space="preserve">con el objetivo de solventar los requerimientos de pago por juicios laborales y/o administrativos, dando prioridad a los que tengan carácter de urgente. </w:t>
      </w:r>
    </w:p>
    <w:p w:rsidR="006D6BFA" w:rsidRPr="00F260F1" w:rsidRDefault="006D6BFA" w:rsidP="00637AE3">
      <w:pPr>
        <w:spacing w:after="0" w:line="240" w:lineRule="auto"/>
        <w:jc w:val="both"/>
        <w:rPr>
          <w:rFonts w:ascii="Arial" w:eastAsia="Arial Unicode MS" w:hAnsi="Arial" w:cs="Arial"/>
          <w:sz w:val="24"/>
          <w:szCs w:val="24"/>
          <w:bdr w:val="nil"/>
          <w:lang w:val="es-ES"/>
        </w:rPr>
      </w:pPr>
    </w:p>
    <w:p w:rsidR="00CB40A5" w:rsidRDefault="006E7288" w:rsidP="00637AE3">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sz w:val="24"/>
          <w:szCs w:val="24"/>
          <w:bdr w:val="nil"/>
          <w:lang w:val="es-ES"/>
        </w:rPr>
        <w:t xml:space="preserve">Por lo anteriormente </w:t>
      </w:r>
      <w:r w:rsidR="00F072C9" w:rsidRPr="00F260F1">
        <w:rPr>
          <w:rFonts w:ascii="Arial" w:eastAsia="Arial Unicode MS" w:hAnsi="Arial" w:cs="Arial"/>
          <w:sz w:val="24"/>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w:t>
      </w:r>
      <w:r w:rsidR="003001E2">
        <w:rPr>
          <w:rFonts w:ascii="Arial" w:eastAsia="Arial Unicode MS" w:hAnsi="Arial" w:cs="Arial"/>
          <w:sz w:val="24"/>
          <w:szCs w:val="24"/>
          <w:bdr w:val="nil"/>
          <w:lang w:val="es-ES"/>
        </w:rPr>
        <w:t>Extrao</w:t>
      </w:r>
      <w:r w:rsidR="00EE4908" w:rsidRPr="00F260F1">
        <w:rPr>
          <w:rFonts w:ascii="Arial" w:eastAsia="Arial Unicode MS" w:hAnsi="Arial" w:cs="Arial"/>
          <w:sz w:val="24"/>
          <w:szCs w:val="24"/>
          <w:bdr w:val="nil"/>
          <w:lang w:val="es-ES"/>
        </w:rPr>
        <w:t>rdinaria</w:t>
      </w:r>
      <w:r w:rsidR="00F072C9" w:rsidRPr="00F260F1">
        <w:rPr>
          <w:rFonts w:ascii="Arial" w:eastAsia="Arial Unicode MS" w:hAnsi="Arial" w:cs="Arial"/>
          <w:sz w:val="24"/>
          <w:szCs w:val="24"/>
          <w:bdr w:val="nil"/>
          <w:lang w:val="es-ES"/>
        </w:rPr>
        <w:t xml:space="preserve"> de Comisión número </w:t>
      </w:r>
      <w:r w:rsidR="00EE7FE9" w:rsidRPr="00F260F1">
        <w:rPr>
          <w:rFonts w:ascii="Arial" w:eastAsia="Arial Unicode MS" w:hAnsi="Arial" w:cs="Arial"/>
          <w:sz w:val="24"/>
          <w:szCs w:val="24"/>
          <w:bdr w:val="nil"/>
          <w:lang w:val="es-ES"/>
        </w:rPr>
        <w:t>0</w:t>
      </w:r>
      <w:r w:rsidR="003001E2">
        <w:rPr>
          <w:rFonts w:ascii="Arial" w:eastAsia="Arial Unicode MS" w:hAnsi="Arial" w:cs="Arial"/>
          <w:sz w:val="24"/>
          <w:szCs w:val="24"/>
          <w:bdr w:val="nil"/>
          <w:lang w:val="es-ES"/>
        </w:rPr>
        <w:t>9</w:t>
      </w:r>
      <w:r w:rsidR="00F072C9" w:rsidRPr="00F260F1">
        <w:rPr>
          <w:rFonts w:ascii="Arial" w:eastAsia="Arial Unicode MS" w:hAnsi="Arial" w:cs="Arial"/>
          <w:sz w:val="24"/>
          <w:szCs w:val="24"/>
          <w:bdr w:val="nil"/>
          <w:lang w:val="es-ES"/>
        </w:rPr>
        <w:t xml:space="preserve">, aprobamos por </w:t>
      </w:r>
      <w:r w:rsidR="00EE7FE9" w:rsidRPr="00F260F1">
        <w:rPr>
          <w:rFonts w:ascii="Arial" w:eastAsia="Arial Unicode MS" w:hAnsi="Arial" w:cs="Arial"/>
          <w:sz w:val="24"/>
          <w:szCs w:val="24"/>
          <w:bdr w:val="nil"/>
          <w:lang w:val="es-ES"/>
        </w:rPr>
        <w:t>unanimidad</w:t>
      </w:r>
      <w:r w:rsidR="000F7A79" w:rsidRPr="00F260F1">
        <w:rPr>
          <w:rFonts w:ascii="Arial" w:eastAsia="Arial Unicode MS" w:hAnsi="Arial" w:cs="Arial"/>
          <w:sz w:val="24"/>
          <w:szCs w:val="24"/>
          <w:bdr w:val="nil"/>
          <w:lang w:val="es-ES"/>
        </w:rPr>
        <w:t xml:space="preserve"> de los 04 ediles presentes</w:t>
      </w:r>
      <w:r w:rsidR="00F072C9" w:rsidRPr="00F260F1">
        <w:rPr>
          <w:rFonts w:ascii="Arial" w:eastAsia="Arial Unicode MS" w:hAnsi="Arial" w:cs="Arial"/>
          <w:sz w:val="24"/>
          <w:szCs w:val="24"/>
          <w:bdr w:val="nil"/>
          <w:lang w:val="es-ES"/>
        </w:rPr>
        <w:t>;</w:t>
      </w:r>
      <w:r w:rsidR="00CB40A5" w:rsidRPr="00F260F1">
        <w:rPr>
          <w:rFonts w:ascii="Arial" w:eastAsia="Arial Unicode MS" w:hAnsi="Arial" w:cs="Arial"/>
          <w:sz w:val="24"/>
          <w:szCs w:val="24"/>
          <w:bdr w:val="nil"/>
          <w:lang w:val="es-ES"/>
        </w:rPr>
        <w:t xml:space="preserve"> proponiendo</w:t>
      </w:r>
      <w:r w:rsidR="00EE7FE9" w:rsidRPr="00F260F1">
        <w:rPr>
          <w:rFonts w:ascii="Arial" w:eastAsia="Arial Unicode MS" w:hAnsi="Arial" w:cs="Arial"/>
          <w:sz w:val="24"/>
          <w:szCs w:val="24"/>
          <w:bdr w:val="nil"/>
          <w:lang w:val="es-ES"/>
        </w:rPr>
        <w:t xml:space="preserve"> al pleno de este H. Ayuntamiento</w:t>
      </w:r>
      <w:r w:rsidR="00CB40A5" w:rsidRPr="00F260F1">
        <w:rPr>
          <w:rFonts w:ascii="Arial" w:eastAsia="Arial Unicode MS" w:hAnsi="Arial" w:cs="Arial"/>
          <w:sz w:val="24"/>
          <w:szCs w:val="24"/>
          <w:bdr w:val="nil"/>
          <w:lang w:val="es-ES"/>
        </w:rPr>
        <w:t xml:space="preserve"> para su discusión y en su caso aprobación, Dictamen que contiene los siguientes</w:t>
      </w:r>
      <w:r w:rsidR="00AB3E04">
        <w:rPr>
          <w:rFonts w:ascii="Arial" w:eastAsia="Arial Unicode MS" w:hAnsi="Arial" w:cs="Arial"/>
          <w:sz w:val="24"/>
          <w:szCs w:val="24"/>
          <w:bdr w:val="nil"/>
          <w:lang w:val="es-ES"/>
        </w:rPr>
        <w:t>,</w:t>
      </w:r>
    </w:p>
    <w:p w:rsidR="00AB3E04" w:rsidRPr="00F260F1" w:rsidRDefault="00AB3E04" w:rsidP="00637AE3">
      <w:pPr>
        <w:spacing w:after="0" w:line="240" w:lineRule="auto"/>
        <w:jc w:val="both"/>
        <w:rPr>
          <w:rFonts w:ascii="Arial" w:eastAsia="Arial Unicode MS" w:hAnsi="Arial" w:cs="Arial"/>
          <w:sz w:val="24"/>
          <w:szCs w:val="24"/>
          <w:bdr w:val="nil"/>
          <w:lang w:val="es-ES"/>
        </w:rPr>
      </w:pPr>
    </w:p>
    <w:p w:rsidR="00CB40A5" w:rsidRPr="00F260F1" w:rsidRDefault="00CB40A5" w:rsidP="00CB40A5">
      <w:pPr>
        <w:spacing w:after="0" w:line="240" w:lineRule="auto"/>
        <w:jc w:val="center"/>
        <w:rPr>
          <w:rFonts w:ascii="Arial" w:eastAsia="Arial Unicode MS" w:hAnsi="Arial" w:cs="Arial"/>
          <w:b/>
          <w:sz w:val="24"/>
          <w:szCs w:val="24"/>
          <w:bdr w:val="nil"/>
          <w:lang w:val="es-ES"/>
        </w:rPr>
      </w:pPr>
      <w:r w:rsidRPr="00F260F1">
        <w:rPr>
          <w:rFonts w:ascii="Arial" w:eastAsia="Arial Unicode MS" w:hAnsi="Arial" w:cs="Arial"/>
          <w:b/>
          <w:sz w:val="24"/>
          <w:szCs w:val="24"/>
          <w:bdr w:val="nil"/>
          <w:lang w:val="es-ES"/>
        </w:rPr>
        <w:lastRenderedPageBreak/>
        <w:t>RESOLUTIVOS:</w:t>
      </w:r>
    </w:p>
    <w:p w:rsidR="00C87593" w:rsidRPr="00F260F1" w:rsidRDefault="00C87593" w:rsidP="00CB40A5">
      <w:pPr>
        <w:spacing w:after="0" w:line="240" w:lineRule="auto"/>
        <w:jc w:val="center"/>
        <w:rPr>
          <w:rFonts w:ascii="Arial" w:eastAsia="Arial Unicode MS" w:hAnsi="Arial" w:cs="Arial"/>
          <w:b/>
          <w:sz w:val="24"/>
          <w:szCs w:val="24"/>
          <w:bdr w:val="nil"/>
          <w:lang w:val="es-ES"/>
        </w:rPr>
      </w:pPr>
    </w:p>
    <w:p w:rsidR="00CB40A5" w:rsidRPr="00F260F1" w:rsidRDefault="00CB40A5" w:rsidP="00CB40A5">
      <w:pPr>
        <w:spacing w:after="0" w:line="240" w:lineRule="auto"/>
        <w:jc w:val="center"/>
        <w:rPr>
          <w:rFonts w:ascii="Arial" w:eastAsia="Arial Unicode MS" w:hAnsi="Arial" w:cs="Arial"/>
          <w:b/>
          <w:sz w:val="24"/>
          <w:szCs w:val="24"/>
          <w:bdr w:val="nil"/>
          <w:lang w:val="es-ES"/>
        </w:rPr>
      </w:pPr>
    </w:p>
    <w:p w:rsidR="00234A5E" w:rsidRPr="00234A5E" w:rsidRDefault="00AF6BCE" w:rsidP="00234A5E">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PRIMERO. -</w:t>
      </w:r>
      <w:r w:rsidR="00B523EA" w:rsidRPr="00F260F1">
        <w:rPr>
          <w:rFonts w:ascii="Arial" w:eastAsia="Arial Unicode MS" w:hAnsi="Arial" w:cs="Arial"/>
          <w:b/>
          <w:sz w:val="24"/>
          <w:szCs w:val="24"/>
          <w:bdr w:val="nil"/>
          <w:lang w:val="es-ES"/>
        </w:rPr>
        <w:t xml:space="preserve"> </w:t>
      </w:r>
      <w:r w:rsidR="003001E2">
        <w:rPr>
          <w:rFonts w:ascii="Arial" w:eastAsia="Arial Unicode MS" w:hAnsi="Arial" w:cs="Arial"/>
          <w:sz w:val="24"/>
          <w:szCs w:val="24"/>
          <w:bdr w:val="nil"/>
          <w:lang w:val="es-ES"/>
        </w:rPr>
        <w:t xml:space="preserve">Se autoriza por el Pleno del Ayuntamiento del Municipio de Zapotlán el Grande, Jalisco; en términos de los artículos 179 y demás relativos aplicables de la Ley de Hacienda Municipal para el Estado de Jalisco, 37 fracción IX. 84,85,86,87, 88 fracción I de la Ley del Gobierno y la Administración Pública Municipal para el Estado de Jalisco, la venta mediante subasta pública al mejor postor, fijándose como precio mínimo de venta la cantidad </w:t>
      </w:r>
      <w:r w:rsidR="003001E2" w:rsidRPr="00F14616">
        <w:rPr>
          <w:rFonts w:ascii="Arial" w:eastAsia="Arial Unicode MS" w:hAnsi="Arial" w:cs="Arial"/>
          <w:sz w:val="24"/>
          <w:szCs w:val="24"/>
          <w:bdr w:val="nil"/>
          <w:lang w:val="es-ES"/>
        </w:rPr>
        <w:t xml:space="preserve">de </w:t>
      </w:r>
      <w:r w:rsidR="00F14616">
        <w:rPr>
          <w:rFonts w:ascii="Arial" w:eastAsia="Times New Roman" w:hAnsi="Arial" w:cs="Arial"/>
          <w:snapToGrid w:val="0"/>
          <w:sz w:val="24"/>
          <w:szCs w:val="20"/>
          <w:lang w:eastAsia="es-ES"/>
        </w:rPr>
        <w:t>$1’620,000.00 (UN MILLON SEISCIENTOS VEINTE MIL PESOS 00/100 M.N.)</w:t>
      </w:r>
      <w:r w:rsidR="003001E2">
        <w:rPr>
          <w:rFonts w:ascii="Arial" w:eastAsia="Arial Unicode MS" w:hAnsi="Arial" w:cs="Arial"/>
          <w:sz w:val="24"/>
          <w:szCs w:val="24"/>
          <w:bdr w:val="nil"/>
        </w:rPr>
        <w:t>,</w:t>
      </w:r>
      <w:r w:rsidR="003001E2">
        <w:rPr>
          <w:rFonts w:ascii="Arial" w:eastAsia="Arial Unicode MS" w:hAnsi="Arial" w:cs="Arial"/>
          <w:sz w:val="24"/>
          <w:szCs w:val="24"/>
          <w:bdr w:val="nil"/>
          <w:lang w:val="es-ES"/>
        </w:rPr>
        <w:t xml:space="preserve"> del </w:t>
      </w:r>
      <w:r w:rsidR="00234A5E">
        <w:rPr>
          <w:rFonts w:ascii="Arial" w:eastAsia="Arial Unicode MS" w:hAnsi="Arial" w:cs="Arial"/>
          <w:sz w:val="24"/>
          <w:szCs w:val="24"/>
          <w:bdr w:val="nil"/>
          <w:lang w:val="es-ES"/>
        </w:rPr>
        <w:t>p</w:t>
      </w:r>
      <w:r w:rsidR="00234A5E" w:rsidRPr="00234A5E">
        <w:rPr>
          <w:rFonts w:ascii="Arial" w:eastAsia="Arial Unicode MS" w:hAnsi="Arial" w:cs="Arial"/>
          <w:sz w:val="24"/>
          <w:szCs w:val="24"/>
          <w:bdr w:val="nil"/>
          <w:lang w:val="es-ES"/>
        </w:rPr>
        <w:t>redio urbano localizado en la Calle José Vasconcelos número 10, en la colonia 16 de septiembre, en Ciudad Guzmán, Municipio de Zapotlán el Grande, Jalisco, con número de cuenta catastral U000607</w:t>
      </w:r>
      <w:r w:rsidR="005161F5">
        <w:rPr>
          <w:rFonts w:ascii="Arial" w:eastAsia="Arial Unicode MS" w:hAnsi="Arial" w:cs="Arial"/>
          <w:sz w:val="24"/>
          <w:szCs w:val="24"/>
          <w:bdr w:val="nil"/>
          <w:lang w:val="es-ES"/>
        </w:rPr>
        <w:t xml:space="preserve"> y</w:t>
      </w:r>
      <w:r w:rsidR="00234A5E" w:rsidRPr="00234A5E">
        <w:rPr>
          <w:rFonts w:ascii="Arial" w:eastAsia="Arial Unicode MS" w:hAnsi="Arial" w:cs="Arial"/>
          <w:sz w:val="24"/>
          <w:szCs w:val="24"/>
          <w:bdr w:val="nil"/>
          <w:lang w:val="es-ES"/>
        </w:rPr>
        <w:t xml:space="preserve"> una superficie de 317 metros cuadrados colindando al Norte con Propiedad de Víctor García Baltazar, al Oriente con propiedad de Ignacio Corona Vizcaíno, al Sur con propiedad de José de Jesús Núñez Dávila y al Poniente con la calle José Vasconcelos.</w:t>
      </w:r>
    </w:p>
    <w:p w:rsidR="00637AE3" w:rsidRPr="00F260F1" w:rsidRDefault="00637AE3" w:rsidP="00901670">
      <w:pPr>
        <w:spacing w:after="0" w:line="240" w:lineRule="auto"/>
        <w:jc w:val="both"/>
        <w:rPr>
          <w:rFonts w:ascii="Arial" w:eastAsia="Arial Unicode MS" w:hAnsi="Arial" w:cs="Arial"/>
          <w:b/>
          <w:sz w:val="28"/>
          <w:szCs w:val="24"/>
          <w:bdr w:val="nil"/>
          <w:lang w:val="es-ES"/>
        </w:rPr>
      </w:pPr>
    </w:p>
    <w:p w:rsidR="00637AE3" w:rsidRPr="00F260F1" w:rsidRDefault="00637AE3" w:rsidP="00637AE3">
      <w:pPr>
        <w:spacing w:after="0" w:line="240" w:lineRule="auto"/>
        <w:jc w:val="both"/>
        <w:rPr>
          <w:rFonts w:ascii="Arial" w:eastAsia="Arial Unicode MS" w:hAnsi="Arial" w:cs="Arial"/>
          <w:b/>
          <w:sz w:val="24"/>
          <w:szCs w:val="24"/>
          <w:bdr w:val="nil"/>
          <w:lang w:val="es-ES"/>
        </w:rPr>
      </w:pPr>
    </w:p>
    <w:p w:rsidR="003A1FCA" w:rsidRDefault="00637AE3" w:rsidP="00901670">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 xml:space="preserve">SEGUNDO.- </w:t>
      </w:r>
      <w:r w:rsidR="001A09D7">
        <w:rPr>
          <w:rFonts w:ascii="Arial" w:eastAsia="Arial Unicode MS" w:hAnsi="Arial" w:cs="Arial"/>
          <w:sz w:val="24"/>
          <w:szCs w:val="24"/>
          <w:bdr w:val="nil"/>
          <w:lang w:val="es-ES"/>
        </w:rPr>
        <w:t>Autorizada la venta en los términos del resolutivo primero, instrúyase</w:t>
      </w:r>
      <w:r w:rsidR="002047D3">
        <w:rPr>
          <w:rFonts w:ascii="Arial" w:eastAsia="Arial Unicode MS" w:hAnsi="Arial" w:cs="Arial"/>
          <w:sz w:val="24"/>
          <w:szCs w:val="24"/>
          <w:bdr w:val="nil"/>
          <w:lang w:val="es-ES"/>
        </w:rPr>
        <w:t xml:space="preserve"> al Encargado de la Hacienda Municipal, para que en estricto apego a lo dispuesto en los artí</w:t>
      </w:r>
      <w:r w:rsidR="001B1469">
        <w:rPr>
          <w:rFonts w:ascii="Arial" w:eastAsia="Arial Unicode MS" w:hAnsi="Arial" w:cs="Arial"/>
          <w:sz w:val="24"/>
          <w:szCs w:val="24"/>
          <w:bdr w:val="nil"/>
          <w:lang w:val="es-ES"/>
        </w:rPr>
        <w:t xml:space="preserve">culos 179 y demás relativos y aplicables de la Ley de Hacienda Municipal para el Estado de Jalisco, 88 fracción III de la Ley del Gobierno y la Administración Pública Municipal para el Estado de Jalisco, sustanciando la subasta al procedimiento previsto por el capítulo IV del Título Octavo del Código de Procedimientos Civiles del Estado de Jalisco aplicado supletoriamente, proceda a integrar un expediente y emita convocatoria conjuntamente con el Presidente Municipal y el Secretario General del Ayuntamiento, en donde se convoque postores que deseen participar en la compra del inmueble de propiedad Municipal </w:t>
      </w:r>
      <w:r w:rsidR="00204881" w:rsidRPr="00204881">
        <w:rPr>
          <w:rFonts w:ascii="Arial" w:eastAsia="Arial Unicode MS" w:hAnsi="Arial" w:cs="Arial"/>
          <w:sz w:val="24"/>
          <w:szCs w:val="24"/>
          <w:bdr w:val="nil"/>
          <w:lang w:val="es-ES"/>
        </w:rPr>
        <w:t xml:space="preserve">ubicado en la Calle José </w:t>
      </w:r>
      <w:r w:rsidR="00641FCA" w:rsidRPr="00204881">
        <w:rPr>
          <w:rFonts w:ascii="Arial" w:eastAsia="Arial Unicode MS" w:hAnsi="Arial" w:cs="Arial"/>
          <w:sz w:val="24"/>
          <w:szCs w:val="24"/>
          <w:bdr w:val="nil"/>
          <w:lang w:val="es-ES"/>
        </w:rPr>
        <w:t>Vasconcelos</w:t>
      </w:r>
      <w:r w:rsidR="00204881" w:rsidRPr="00204881">
        <w:rPr>
          <w:rFonts w:ascii="Arial" w:eastAsia="Arial Unicode MS" w:hAnsi="Arial" w:cs="Arial"/>
          <w:sz w:val="24"/>
          <w:szCs w:val="24"/>
          <w:bdr w:val="nil"/>
          <w:lang w:val="es-ES"/>
        </w:rPr>
        <w:t xml:space="preserve"> número 10, en la colonia 16 de septiembre, en Ciudad Guzmán, Municipio de Zapotlán el Grande, Jalisco</w:t>
      </w:r>
      <w:r w:rsidR="00204881">
        <w:rPr>
          <w:rFonts w:ascii="Arial" w:eastAsia="Arial Unicode MS" w:hAnsi="Arial" w:cs="Arial"/>
          <w:sz w:val="24"/>
          <w:szCs w:val="24"/>
          <w:bdr w:val="nil"/>
          <w:lang w:val="es-ES"/>
        </w:rPr>
        <w:t xml:space="preserve">; con invitación directa a los colindantes, estableciéndose </w:t>
      </w:r>
      <w:r w:rsidR="00BA4D09">
        <w:rPr>
          <w:rFonts w:ascii="Arial" w:eastAsia="Arial Unicode MS" w:hAnsi="Arial" w:cs="Arial"/>
          <w:sz w:val="24"/>
          <w:szCs w:val="24"/>
          <w:bdr w:val="nil"/>
          <w:lang w:val="es-ES"/>
        </w:rPr>
        <w:t>como precio mínimo</w:t>
      </w:r>
      <w:r w:rsidR="00DB775C">
        <w:rPr>
          <w:rFonts w:ascii="Arial" w:eastAsia="Arial Unicode MS" w:hAnsi="Arial" w:cs="Arial"/>
          <w:sz w:val="24"/>
          <w:szCs w:val="24"/>
          <w:bdr w:val="nil"/>
          <w:lang w:val="es-ES"/>
        </w:rPr>
        <w:t xml:space="preserve"> de venta la cantidad de </w:t>
      </w:r>
      <w:r w:rsidR="00F14616">
        <w:rPr>
          <w:rFonts w:ascii="Arial" w:eastAsia="Times New Roman" w:hAnsi="Arial" w:cs="Arial"/>
          <w:snapToGrid w:val="0"/>
          <w:sz w:val="24"/>
          <w:szCs w:val="20"/>
          <w:lang w:eastAsia="es-ES"/>
        </w:rPr>
        <w:t xml:space="preserve">$1’620,000.00 (UN MILLON SEISCIENTOS VEINTE MIL PESOS 00/100 M.N.) </w:t>
      </w:r>
      <w:r w:rsidR="00DB775C">
        <w:rPr>
          <w:rFonts w:ascii="Arial" w:eastAsia="Arial Unicode MS" w:hAnsi="Arial" w:cs="Arial"/>
          <w:sz w:val="24"/>
          <w:szCs w:val="24"/>
          <w:bdr w:val="nil"/>
          <w:lang w:val="es-ES"/>
        </w:rPr>
        <w:t xml:space="preserve">La convocatoria deberá ser publicada en la Gaceta Municipal conforme al artículo 3 fracción V, del Reglamento de la Gaceta, en los estrados de la Presidencia Municipal y en la página web oficial del Ayuntamiento </w:t>
      </w:r>
      <w:hyperlink r:id="rId8" w:history="1">
        <w:r w:rsidR="00DB775C" w:rsidRPr="000D68A3">
          <w:rPr>
            <w:rStyle w:val="Hipervnculo"/>
            <w:rFonts w:ascii="Arial" w:eastAsia="Arial Unicode MS" w:hAnsi="Arial" w:cs="Arial"/>
            <w:sz w:val="24"/>
            <w:szCs w:val="24"/>
            <w:bdr w:val="nil"/>
            <w:lang w:val="es-ES"/>
          </w:rPr>
          <w:t>www.ciudadguzman.gob.mx</w:t>
        </w:r>
      </w:hyperlink>
      <w:r w:rsidR="00DB775C">
        <w:rPr>
          <w:rFonts w:ascii="Arial" w:eastAsia="Arial Unicode MS" w:hAnsi="Arial" w:cs="Arial"/>
          <w:sz w:val="24"/>
          <w:szCs w:val="24"/>
          <w:bdr w:val="nil"/>
          <w:lang w:val="es-ES"/>
        </w:rPr>
        <w:t>, se autoriza e instruye como Oficialía de parte para la recepción de posturas a la Secretaría General del Ayuntamiento.</w:t>
      </w:r>
    </w:p>
    <w:p w:rsidR="00DB775C" w:rsidRDefault="00DB775C" w:rsidP="00901670">
      <w:pPr>
        <w:spacing w:after="0" w:line="240" w:lineRule="auto"/>
        <w:jc w:val="both"/>
        <w:rPr>
          <w:rFonts w:ascii="Arial" w:eastAsia="Arial Unicode MS" w:hAnsi="Arial" w:cs="Arial"/>
          <w:sz w:val="24"/>
          <w:szCs w:val="24"/>
          <w:bdr w:val="nil"/>
          <w:lang w:val="es-ES"/>
        </w:rPr>
      </w:pPr>
    </w:p>
    <w:p w:rsidR="00637AE3" w:rsidRPr="00F260F1" w:rsidRDefault="00637AE3" w:rsidP="00E3227C">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 xml:space="preserve">TERCERO.- </w:t>
      </w:r>
      <w:r w:rsidR="00E3227C" w:rsidRPr="00F260F1">
        <w:rPr>
          <w:rFonts w:ascii="Arial" w:eastAsia="Arial Unicode MS" w:hAnsi="Arial" w:cs="Arial"/>
          <w:sz w:val="24"/>
          <w:szCs w:val="24"/>
          <w:bdr w:val="nil"/>
          <w:lang w:val="es-ES"/>
        </w:rPr>
        <w:t xml:space="preserve">Se autoriza </w:t>
      </w:r>
      <w:r w:rsidR="00DB775C">
        <w:rPr>
          <w:rFonts w:ascii="Arial" w:eastAsia="Arial Unicode MS" w:hAnsi="Arial" w:cs="Arial"/>
          <w:sz w:val="24"/>
          <w:szCs w:val="24"/>
          <w:bdr w:val="nil"/>
          <w:lang w:val="es-ES"/>
        </w:rPr>
        <w:t xml:space="preserve">por el pleno del Ayuntamiento de Zapotlán el Grande, Jalisco, que el monto total que se obtenga con la venta del inmueble de propiedad Municipal materia del presenta dictamen, ingrese a la Hacienda Municipal como Ingreso local de libre disposición con fundamento en lo establecido por el artículo 2 fracciones XIX y XXI </w:t>
      </w:r>
      <w:r w:rsidR="00DB775C">
        <w:rPr>
          <w:rFonts w:ascii="Arial" w:eastAsia="Arial Unicode MS" w:hAnsi="Arial" w:cs="Arial"/>
          <w:sz w:val="24"/>
          <w:szCs w:val="24"/>
          <w:bdr w:val="nil"/>
          <w:lang w:val="es-ES"/>
        </w:rPr>
        <w:lastRenderedPageBreak/>
        <w:t xml:space="preserve">de la Ley de Disciplina Financiera, autorizándose que </w:t>
      </w:r>
      <w:r w:rsidR="00900248">
        <w:rPr>
          <w:rFonts w:ascii="Arial" w:eastAsia="Arial Unicode MS" w:hAnsi="Arial" w:cs="Arial"/>
          <w:sz w:val="24"/>
          <w:szCs w:val="24"/>
          <w:bdr w:val="nil"/>
          <w:lang w:val="es-ES"/>
        </w:rPr>
        <w:t>se amplíe la partida 394 “Sentencias y Resoluciones por autoridad competente”</w:t>
      </w:r>
      <w:r w:rsidR="00DB775C">
        <w:rPr>
          <w:rFonts w:ascii="Arial" w:eastAsia="Arial Unicode MS" w:hAnsi="Arial" w:cs="Arial"/>
          <w:sz w:val="24"/>
          <w:szCs w:val="24"/>
          <w:bdr w:val="nil"/>
          <w:lang w:val="es-ES"/>
        </w:rPr>
        <w:t xml:space="preserve"> para el pago de los requerimientos por laudos en materia laboral y/o administrativa.</w:t>
      </w:r>
    </w:p>
    <w:p w:rsidR="00E3227C" w:rsidRPr="00F260F1" w:rsidRDefault="00E3227C" w:rsidP="00E3227C">
      <w:pPr>
        <w:spacing w:after="0" w:line="240" w:lineRule="auto"/>
        <w:jc w:val="both"/>
        <w:rPr>
          <w:rFonts w:ascii="Arial" w:eastAsia="Arial Unicode MS" w:hAnsi="Arial" w:cs="Arial"/>
          <w:sz w:val="24"/>
          <w:szCs w:val="24"/>
          <w:bdr w:val="nil"/>
          <w:lang w:val="es-ES"/>
        </w:rPr>
      </w:pPr>
    </w:p>
    <w:p w:rsidR="00E3227C" w:rsidRDefault="00AF6BCE" w:rsidP="00E3227C">
      <w:pPr>
        <w:spacing w:after="0" w:line="240" w:lineRule="auto"/>
        <w:jc w:val="both"/>
        <w:rPr>
          <w:rFonts w:ascii="Arial" w:eastAsia="Arial Unicode MS" w:hAnsi="Arial" w:cs="Arial"/>
          <w:sz w:val="24"/>
          <w:szCs w:val="24"/>
          <w:bdr w:val="nil"/>
          <w:lang w:val="es-ES"/>
        </w:rPr>
      </w:pPr>
      <w:r w:rsidRPr="00F260F1">
        <w:rPr>
          <w:rFonts w:ascii="Arial" w:eastAsia="Arial Unicode MS" w:hAnsi="Arial" w:cs="Arial"/>
          <w:b/>
          <w:sz w:val="24"/>
          <w:szCs w:val="24"/>
          <w:bdr w:val="nil"/>
          <w:lang w:val="es-ES"/>
        </w:rPr>
        <w:t>CUARTO. -</w:t>
      </w:r>
      <w:r w:rsidR="00DB47AA" w:rsidRPr="00F260F1">
        <w:rPr>
          <w:rFonts w:ascii="Arial" w:eastAsia="Arial Unicode MS" w:hAnsi="Arial" w:cs="Arial"/>
          <w:sz w:val="24"/>
          <w:szCs w:val="24"/>
          <w:bdr w:val="nil"/>
          <w:lang w:val="es-ES"/>
        </w:rPr>
        <w:t xml:space="preserve"> </w:t>
      </w:r>
      <w:r w:rsidR="00DB775C">
        <w:rPr>
          <w:rFonts w:ascii="Arial" w:eastAsia="Arial Unicode MS" w:hAnsi="Arial" w:cs="Arial"/>
          <w:sz w:val="24"/>
          <w:szCs w:val="24"/>
          <w:bdr w:val="nil"/>
          <w:lang w:val="es-ES"/>
        </w:rPr>
        <w:t>Se aprueba por el Pleno del Ayuntamiento del Municipio de Zapotlán el Grande, Jalisco; que una vez realizada la subast</w:t>
      </w:r>
      <w:r w:rsidR="00BC4B73">
        <w:rPr>
          <w:rFonts w:ascii="Arial" w:eastAsia="Arial Unicode MS" w:hAnsi="Arial" w:cs="Arial"/>
          <w:sz w:val="24"/>
          <w:szCs w:val="24"/>
          <w:bdr w:val="nil"/>
          <w:lang w:val="es-ES"/>
        </w:rPr>
        <w:t>a</w:t>
      </w:r>
      <w:r w:rsidR="00DB775C">
        <w:rPr>
          <w:rFonts w:ascii="Arial" w:eastAsia="Arial Unicode MS" w:hAnsi="Arial" w:cs="Arial"/>
          <w:sz w:val="24"/>
          <w:szCs w:val="24"/>
          <w:bdr w:val="nil"/>
          <w:lang w:val="es-ES"/>
        </w:rPr>
        <w:t xml:space="preserve"> pública del inmueble</w:t>
      </w:r>
      <w:r w:rsidR="00BC4B73">
        <w:rPr>
          <w:rFonts w:ascii="Arial" w:eastAsia="Arial Unicode MS" w:hAnsi="Arial" w:cs="Arial"/>
          <w:sz w:val="24"/>
          <w:szCs w:val="24"/>
          <w:bdr w:val="nil"/>
          <w:lang w:val="es-ES"/>
        </w:rPr>
        <w:t xml:space="preserve"> de propiedad Municipal, </w:t>
      </w:r>
      <w:r w:rsidR="00B30D43">
        <w:rPr>
          <w:rFonts w:ascii="Arial" w:eastAsia="Arial Unicode MS" w:hAnsi="Arial" w:cs="Arial"/>
          <w:sz w:val="24"/>
          <w:szCs w:val="24"/>
          <w:bdr w:val="nil"/>
          <w:lang w:val="es-ES"/>
        </w:rPr>
        <w:t>ubicada</w:t>
      </w:r>
      <w:r w:rsidR="00BC4B73">
        <w:rPr>
          <w:rFonts w:ascii="Arial" w:eastAsia="Arial Unicode MS" w:hAnsi="Arial" w:cs="Arial"/>
          <w:sz w:val="24"/>
          <w:szCs w:val="24"/>
          <w:bdr w:val="nil"/>
          <w:lang w:val="es-ES"/>
        </w:rPr>
        <w:t xml:space="preserve"> en </w:t>
      </w:r>
      <w:r w:rsidR="00BC4B73" w:rsidRPr="00BC4B73">
        <w:rPr>
          <w:rFonts w:ascii="Arial" w:eastAsia="Arial Unicode MS" w:hAnsi="Arial" w:cs="Arial"/>
          <w:sz w:val="24"/>
          <w:szCs w:val="24"/>
          <w:bdr w:val="nil"/>
          <w:lang w:val="es-ES"/>
        </w:rPr>
        <w:t xml:space="preserve">la Calle José </w:t>
      </w:r>
      <w:r w:rsidR="00641FCA" w:rsidRPr="00BC4B73">
        <w:rPr>
          <w:rFonts w:ascii="Arial" w:eastAsia="Arial Unicode MS" w:hAnsi="Arial" w:cs="Arial"/>
          <w:sz w:val="24"/>
          <w:szCs w:val="24"/>
          <w:bdr w:val="nil"/>
          <w:lang w:val="es-ES"/>
        </w:rPr>
        <w:t>Vasconcelos</w:t>
      </w:r>
      <w:r w:rsidR="00BC4B73" w:rsidRPr="00BC4B73">
        <w:rPr>
          <w:rFonts w:ascii="Arial" w:eastAsia="Arial Unicode MS" w:hAnsi="Arial" w:cs="Arial"/>
          <w:sz w:val="24"/>
          <w:szCs w:val="24"/>
          <w:bdr w:val="nil"/>
          <w:lang w:val="es-ES"/>
        </w:rPr>
        <w:t xml:space="preserve"> número 10, en la colonia 16 de septiembre, en Ciudad Guzmán, Municipio de Zapotlán el Grande, Jalisc</w:t>
      </w:r>
      <w:r w:rsidR="00BC4B73">
        <w:rPr>
          <w:rFonts w:ascii="Arial" w:eastAsia="Arial Unicode MS" w:hAnsi="Arial" w:cs="Arial"/>
          <w:sz w:val="24"/>
          <w:szCs w:val="24"/>
          <w:bdr w:val="nil"/>
          <w:lang w:val="es-ES"/>
        </w:rPr>
        <w:t>o, se autoriza:</w:t>
      </w:r>
    </w:p>
    <w:p w:rsidR="00F14616" w:rsidRDefault="00F14616" w:rsidP="00E3227C">
      <w:pPr>
        <w:spacing w:after="0" w:line="240" w:lineRule="auto"/>
        <w:jc w:val="both"/>
        <w:rPr>
          <w:rFonts w:ascii="Arial" w:eastAsia="Arial Unicode MS" w:hAnsi="Arial" w:cs="Arial"/>
          <w:sz w:val="24"/>
          <w:szCs w:val="24"/>
          <w:bdr w:val="nil"/>
          <w:lang w:val="es-ES"/>
        </w:rPr>
      </w:pPr>
    </w:p>
    <w:p w:rsidR="00BC4B73" w:rsidRDefault="00BC4B73" w:rsidP="00BC4B73">
      <w:pPr>
        <w:pStyle w:val="Prrafodelista"/>
        <w:numPr>
          <w:ilvl w:val="0"/>
          <w:numId w:val="3"/>
        </w:numPr>
        <w:spacing w:after="0" w:line="240" w:lineRule="auto"/>
        <w:ind w:left="0" w:firstLine="360"/>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Se enajene el bien a quien resulte ser el mejor postor sobre el precio mínimo de venta establecido, una vez que el comprador haya realizado el pago total del inmueble, conforme a lo establecido por el antepenúltimo párrafo del artículo 179 de la Ley de Hacienda Municipal para el Estado de Jalisco.</w:t>
      </w:r>
    </w:p>
    <w:p w:rsidR="00BC4B73" w:rsidRDefault="00BC4B73" w:rsidP="00BC4B73">
      <w:pPr>
        <w:pStyle w:val="Prrafodelista"/>
        <w:spacing w:after="0" w:line="240" w:lineRule="auto"/>
        <w:ind w:left="360"/>
        <w:jc w:val="both"/>
        <w:rPr>
          <w:rFonts w:ascii="Arial" w:eastAsia="Arial Unicode MS" w:hAnsi="Arial" w:cs="Arial"/>
          <w:sz w:val="24"/>
          <w:szCs w:val="24"/>
          <w:bdr w:val="nil"/>
          <w:lang w:val="es-ES"/>
        </w:rPr>
      </w:pPr>
    </w:p>
    <w:p w:rsidR="00BC4B73" w:rsidRDefault="00BC4B73" w:rsidP="00BC4B73">
      <w:pPr>
        <w:pStyle w:val="Prrafodelista"/>
        <w:numPr>
          <w:ilvl w:val="0"/>
          <w:numId w:val="3"/>
        </w:numPr>
        <w:spacing w:after="0" w:line="240" w:lineRule="auto"/>
        <w:ind w:left="0" w:firstLine="360"/>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Se autoriza y faculta a los representantes del Ayuntamiento, Presidente Municipal, Síndico, Secretario General y Encargado de la Hacienda Municipal, para que firmen y suscriban la documentación inherente al cumplimiento del presente acuerdo y otorguen la escrituración cuyo costo será a cargo del comprador.</w:t>
      </w:r>
    </w:p>
    <w:p w:rsidR="00B30D43" w:rsidRDefault="00B30D43" w:rsidP="00B30D43">
      <w:pPr>
        <w:pStyle w:val="Prrafodelista"/>
        <w:spacing w:after="0" w:line="240" w:lineRule="auto"/>
        <w:ind w:left="360"/>
        <w:jc w:val="both"/>
        <w:rPr>
          <w:rFonts w:ascii="Arial" w:eastAsia="Arial Unicode MS" w:hAnsi="Arial" w:cs="Arial"/>
          <w:sz w:val="24"/>
          <w:szCs w:val="24"/>
          <w:bdr w:val="nil"/>
          <w:lang w:val="es-ES"/>
        </w:rPr>
      </w:pPr>
    </w:p>
    <w:p w:rsidR="00B30D43" w:rsidRPr="00B30D43" w:rsidRDefault="00B30D43" w:rsidP="00B30D43">
      <w:pPr>
        <w:pStyle w:val="Prrafodelista"/>
        <w:numPr>
          <w:ilvl w:val="0"/>
          <w:numId w:val="3"/>
        </w:numPr>
        <w:spacing w:after="0" w:line="240" w:lineRule="auto"/>
        <w:ind w:left="0" w:firstLine="360"/>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Se instruye al Director del OPD Sapaza, para que notifique a la Comisión Nacional del Agua</w:t>
      </w:r>
      <w:r w:rsidR="00F14D52">
        <w:rPr>
          <w:rFonts w:ascii="Arial" w:eastAsia="Arial Unicode MS" w:hAnsi="Arial" w:cs="Arial"/>
          <w:sz w:val="24"/>
          <w:szCs w:val="24"/>
          <w:bdr w:val="nil"/>
          <w:lang w:val="es-ES"/>
        </w:rPr>
        <w:t xml:space="preserve"> la</w:t>
      </w:r>
      <w:r>
        <w:rPr>
          <w:rFonts w:ascii="Arial" w:eastAsia="Arial Unicode MS" w:hAnsi="Arial" w:cs="Arial"/>
          <w:sz w:val="24"/>
          <w:szCs w:val="24"/>
          <w:bdr w:val="nil"/>
          <w:lang w:val="es-ES"/>
        </w:rPr>
        <w:t xml:space="preserve"> relocalización de la concesión</w:t>
      </w:r>
      <w:r w:rsidR="00F14D52">
        <w:rPr>
          <w:rFonts w:ascii="Arial" w:eastAsia="Arial Unicode MS" w:hAnsi="Arial" w:cs="Arial"/>
          <w:sz w:val="24"/>
          <w:szCs w:val="24"/>
          <w:bdr w:val="nil"/>
          <w:lang w:val="es-ES"/>
        </w:rPr>
        <w:t xml:space="preserve"> para la extracción de aguas subterráneas con que contaba el pozo que se ubicaba en el predio objeto de este dictamen</w:t>
      </w:r>
      <w:r>
        <w:rPr>
          <w:rFonts w:ascii="Arial" w:eastAsia="Arial Unicode MS" w:hAnsi="Arial" w:cs="Arial"/>
          <w:sz w:val="24"/>
          <w:szCs w:val="24"/>
          <w:bdr w:val="nil"/>
          <w:lang w:val="es-ES"/>
        </w:rPr>
        <w:t>.</w:t>
      </w:r>
    </w:p>
    <w:p w:rsidR="00BC4B73" w:rsidRPr="00BC4B73" w:rsidRDefault="00BC4B73" w:rsidP="00BC4B73">
      <w:pPr>
        <w:pStyle w:val="Prrafodelista"/>
        <w:rPr>
          <w:rFonts w:ascii="Arial" w:eastAsia="Arial Unicode MS" w:hAnsi="Arial" w:cs="Arial"/>
          <w:sz w:val="24"/>
          <w:szCs w:val="24"/>
          <w:bdr w:val="nil"/>
          <w:lang w:val="es-ES"/>
        </w:rPr>
      </w:pPr>
    </w:p>
    <w:p w:rsidR="00BC4B73" w:rsidRDefault="00BC4B73" w:rsidP="00BC4B73">
      <w:pPr>
        <w:pStyle w:val="Prrafodelista"/>
        <w:numPr>
          <w:ilvl w:val="0"/>
          <w:numId w:val="3"/>
        </w:numPr>
        <w:spacing w:after="0" w:line="240" w:lineRule="auto"/>
        <w:ind w:left="0" w:firstLine="360"/>
        <w:jc w:val="both"/>
        <w:rPr>
          <w:rFonts w:ascii="Arial" w:eastAsia="Arial Unicode MS" w:hAnsi="Arial" w:cs="Arial"/>
          <w:sz w:val="24"/>
          <w:szCs w:val="24"/>
          <w:bdr w:val="nil"/>
          <w:lang w:val="es-ES"/>
        </w:rPr>
      </w:pPr>
      <w:r>
        <w:rPr>
          <w:rFonts w:ascii="Arial" w:eastAsia="Arial Unicode MS" w:hAnsi="Arial" w:cs="Arial"/>
          <w:sz w:val="24"/>
          <w:szCs w:val="24"/>
          <w:bdr w:val="nil"/>
          <w:lang w:val="es-ES"/>
        </w:rPr>
        <w:t xml:space="preserve">Se informe al Pleno del Ayuntamiento el resultado final del proceso de </w:t>
      </w:r>
      <w:r w:rsidR="00AF6BCE">
        <w:rPr>
          <w:rFonts w:ascii="Arial" w:eastAsia="Arial Unicode MS" w:hAnsi="Arial" w:cs="Arial"/>
          <w:sz w:val="24"/>
          <w:szCs w:val="24"/>
          <w:bdr w:val="nil"/>
          <w:lang w:val="es-ES"/>
        </w:rPr>
        <w:t>enajenación,</w:t>
      </w:r>
      <w:r>
        <w:rPr>
          <w:rFonts w:ascii="Arial" w:eastAsia="Arial Unicode MS" w:hAnsi="Arial" w:cs="Arial"/>
          <w:sz w:val="24"/>
          <w:szCs w:val="24"/>
          <w:bdr w:val="nil"/>
          <w:lang w:val="es-ES"/>
        </w:rPr>
        <w:t xml:space="preserve"> así como el ingreso que se obtuvo.</w:t>
      </w:r>
    </w:p>
    <w:p w:rsidR="001259BE" w:rsidRPr="001259BE" w:rsidRDefault="001259BE" w:rsidP="001259BE">
      <w:pPr>
        <w:pStyle w:val="Prrafodelista"/>
        <w:rPr>
          <w:rFonts w:ascii="Arial" w:eastAsia="Arial Unicode MS" w:hAnsi="Arial" w:cs="Arial"/>
          <w:sz w:val="24"/>
          <w:szCs w:val="24"/>
          <w:bdr w:val="nil"/>
          <w:lang w:val="es-ES"/>
        </w:rPr>
      </w:pPr>
    </w:p>
    <w:p w:rsidR="001C2D36" w:rsidRDefault="001259BE" w:rsidP="00AB3E04">
      <w:pPr>
        <w:pStyle w:val="Prrafodelista"/>
        <w:numPr>
          <w:ilvl w:val="0"/>
          <w:numId w:val="3"/>
        </w:numPr>
        <w:spacing w:after="0" w:line="240" w:lineRule="auto"/>
        <w:ind w:left="0" w:firstLine="360"/>
        <w:jc w:val="both"/>
        <w:rPr>
          <w:rFonts w:ascii="Arial" w:eastAsia="Arial Unicode MS" w:hAnsi="Arial" w:cs="Arial"/>
          <w:sz w:val="24"/>
          <w:szCs w:val="24"/>
          <w:bdr w:val="nil"/>
          <w:lang w:val="es-ES_tradnl"/>
        </w:rPr>
      </w:pPr>
      <w:r>
        <w:rPr>
          <w:rFonts w:ascii="Arial" w:eastAsia="Arial Unicode MS" w:hAnsi="Arial" w:cs="Arial"/>
          <w:sz w:val="24"/>
          <w:szCs w:val="24"/>
          <w:bdr w:val="nil"/>
          <w:lang w:val="es-ES"/>
        </w:rPr>
        <w:t xml:space="preserve">En </w:t>
      </w:r>
      <w:r w:rsidR="00B82F7E">
        <w:rPr>
          <w:rFonts w:ascii="Arial" w:eastAsia="Arial Unicode MS" w:hAnsi="Arial" w:cs="Arial"/>
          <w:sz w:val="24"/>
          <w:szCs w:val="24"/>
          <w:bdr w:val="nil"/>
          <w:lang w:val="es-ES"/>
        </w:rPr>
        <w:t>t</w:t>
      </w:r>
      <w:r>
        <w:rPr>
          <w:rFonts w:ascii="Arial" w:eastAsia="Arial Unicode MS" w:hAnsi="Arial" w:cs="Arial"/>
          <w:sz w:val="24"/>
          <w:szCs w:val="24"/>
          <w:bdr w:val="nil"/>
          <w:lang w:val="es-ES"/>
        </w:rPr>
        <w:t xml:space="preserve">érminos del Artículo 91 de la Ley del Gobierno y la Administración Pública Municipal del Estado de Jalisco, </w:t>
      </w:r>
      <w:r w:rsidR="00B82F7E">
        <w:rPr>
          <w:rFonts w:ascii="Arial" w:eastAsia="Arial Unicode MS" w:hAnsi="Arial" w:cs="Arial"/>
          <w:sz w:val="24"/>
          <w:szCs w:val="24"/>
          <w:bdr w:val="nil"/>
          <w:lang w:val="es-ES"/>
        </w:rPr>
        <w:t xml:space="preserve">se informe </w:t>
      </w:r>
      <w:r w:rsidR="00B82F7E" w:rsidRPr="00B82F7E">
        <w:rPr>
          <w:rFonts w:ascii="Arial" w:eastAsia="Arial Unicode MS" w:hAnsi="Arial" w:cs="Arial"/>
          <w:sz w:val="24"/>
          <w:szCs w:val="24"/>
          <w:bdr w:val="nil"/>
          <w:lang w:val="es-ES_tradnl"/>
        </w:rPr>
        <w:t xml:space="preserve">al Congreso del Estado y </w:t>
      </w:r>
      <w:r w:rsidR="00B82F7E">
        <w:rPr>
          <w:rFonts w:ascii="Arial" w:eastAsia="Arial Unicode MS" w:hAnsi="Arial" w:cs="Arial"/>
          <w:sz w:val="24"/>
          <w:szCs w:val="24"/>
          <w:bdr w:val="nil"/>
          <w:lang w:val="es-ES_tradnl"/>
        </w:rPr>
        <w:t>se remita</w:t>
      </w:r>
      <w:r w:rsidR="00B82F7E" w:rsidRPr="00B82F7E">
        <w:rPr>
          <w:rFonts w:ascii="Arial" w:eastAsia="Arial Unicode MS" w:hAnsi="Arial" w:cs="Arial"/>
          <w:sz w:val="24"/>
          <w:szCs w:val="24"/>
          <w:bdr w:val="nil"/>
          <w:lang w:val="es-ES_tradnl"/>
        </w:rPr>
        <w:t xml:space="preserve"> copia certificada del dictamen, así como del acta de sesión del Ayuntamiento en la que se aprobó la </w:t>
      </w:r>
      <w:r w:rsidR="00B82F7E">
        <w:rPr>
          <w:rFonts w:ascii="Arial" w:eastAsia="Arial Unicode MS" w:hAnsi="Arial" w:cs="Arial"/>
          <w:sz w:val="24"/>
          <w:szCs w:val="24"/>
          <w:bdr w:val="nil"/>
          <w:lang w:val="es-ES_tradnl"/>
        </w:rPr>
        <w:t>transmisión de dominio del inmueble</w:t>
      </w:r>
      <w:r w:rsidR="00B82F7E" w:rsidRPr="00B82F7E">
        <w:rPr>
          <w:rFonts w:ascii="Arial" w:eastAsia="Arial Unicode MS" w:hAnsi="Arial" w:cs="Arial"/>
          <w:sz w:val="24"/>
          <w:szCs w:val="24"/>
          <w:bdr w:val="nil"/>
          <w:lang w:val="es-ES_tradnl"/>
        </w:rPr>
        <w:t>, para los efectos de la revisión y fiscalización de la cuenta pública respectiva.</w:t>
      </w:r>
    </w:p>
    <w:p w:rsidR="00AB3E04" w:rsidRPr="00AB3E04" w:rsidRDefault="00AB3E04" w:rsidP="00AB3E04">
      <w:pPr>
        <w:spacing w:after="0" w:line="240" w:lineRule="auto"/>
        <w:jc w:val="both"/>
        <w:rPr>
          <w:rFonts w:ascii="Arial" w:eastAsia="Arial Unicode MS" w:hAnsi="Arial" w:cs="Arial"/>
          <w:sz w:val="24"/>
          <w:szCs w:val="24"/>
          <w:bdr w:val="nil"/>
          <w:lang w:val="es-ES_tradnl"/>
        </w:rPr>
      </w:pPr>
    </w:p>
    <w:p w:rsidR="006147FB" w:rsidRPr="00F260F1" w:rsidRDefault="00AF6BCE" w:rsidP="00E3227C">
      <w:pPr>
        <w:spacing w:after="0" w:line="240" w:lineRule="auto"/>
        <w:jc w:val="both"/>
        <w:rPr>
          <w:rFonts w:ascii="Arial" w:eastAsia="Calibri" w:hAnsi="Arial" w:cs="Calibri"/>
          <w:b/>
          <w:bCs/>
          <w:color w:val="000000"/>
          <w:sz w:val="28"/>
          <w:u w:color="000000"/>
          <w:bdr w:val="nil"/>
        </w:rPr>
      </w:pPr>
      <w:r>
        <w:rPr>
          <w:rFonts w:ascii="Arial" w:eastAsia="Arial Unicode MS" w:hAnsi="Arial" w:cs="Arial"/>
          <w:b/>
          <w:sz w:val="24"/>
          <w:szCs w:val="24"/>
          <w:bdr w:val="nil"/>
          <w:lang w:val="es-ES_tradnl"/>
        </w:rPr>
        <w:t>QUINTO. -</w:t>
      </w:r>
      <w:r w:rsidR="001C2D36">
        <w:rPr>
          <w:rFonts w:ascii="Arial" w:eastAsia="Arial Unicode MS" w:hAnsi="Arial" w:cs="Arial"/>
          <w:b/>
          <w:sz w:val="24"/>
          <w:szCs w:val="24"/>
          <w:bdr w:val="nil"/>
          <w:lang w:val="es-ES_tradnl"/>
        </w:rPr>
        <w:t xml:space="preserve"> </w:t>
      </w:r>
      <w:r w:rsidR="001C2D36">
        <w:rPr>
          <w:rFonts w:ascii="Arial" w:eastAsia="Arial Unicode MS" w:hAnsi="Arial" w:cs="Arial"/>
          <w:sz w:val="24"/>
          <w:szCs w:val="24"/>
          <w:bdr w:val="nil"/>
          <w:lang w:val="es-ES_tradnl"/>
        </w:rPr>
        <w:t xml:space="preserve">Notifíquese el presente acuerdo al Encargado de la Hacienda Pública Municipal, Secretario General, Jefatura de Patrimonio Municipal y a cualquier dependencia que tenga relación al acuerdo que se autoriza para los efectos a que haya lugar. </w:t>
      </w:r>
    </w:p>
    <w:p w:rsidR="00637AE3"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8"/>
          <w:u w:color="000000"/>
          <w:bdr w:val="nil"/>
        </w:rPr>
      </w:pPr>
    </w:p>
    <w:p w:rsidR="00AB3E04" w:rsidRDefault="00AB3E04" w:rsidP="00E3227C">
      <w:pPr>
        <w:pBdr>
          <w:top w:val="nil"/>
          <w:left w:val="nil"/>
          <w:bottom w:val="nil"/>
          <w:right w:val="nil"/>
          <w:between w:val="nil"/>
          <w:bar w:val="nil"/>
        </w:pBdr>
        <w:spacing w:after="0" w:line="240" w:lineRule="auto"/>
        <w:jc w:val="center"/>
        <w:rPr>
          <w:rFonts w:ascii="Arial" w:eastAsia="Calibri" w:hAnsi="Arial" w:cs="Calibri"/>
          <w:b/>
          <w:bCs/>
          <w:color w:val="000000"/>
          <w:sz w:val="28"/>
          <w:u w:color="000000"/>
          <w:bdr w:val="nil"/>
        </w:rPr>
      </w:pPr>
    </w:p>
    <w:p w:rsidR="00AB3E04" w:rsidRDefault="00AB3E04" w:rsidP="00E3227C">
      <w:pPr>
        <w:pBdr>
          <w:top w:val="nil"/>
          <w:left w:val="nil"/>
          <w:bottom w:val="nil"/>
          <w:right w:val="nil"/>
          <w:between w:val="nil"/>
          <w:bar w:val="nil"/>
        </w:pBdr>
        <w:spacing w:after="0" w:line="240" w:lineRule="auto"/>
        <w:jc w:val="center"/>
        <w:rPr>
          <w:rFonts w:ascii="Arial" w:eastAsia="Calibri" w:hAnsi="Arial" w:cs="Calibri"/>
          <w:b/>
          <w:bCs/>
          <w:color w:val="000000"/>
          <w:sz w:val="28"/>
          <w:u w:color="000000"/>
          <w:bdr w:val="nil"/>
        </w:rPr>
      </w:pPr>
    </w:p>
    <w:p w:rsidR="00942680" w:rsidRPr="00F260F1" w:rsidRDefault="00942680" w:rsidP="00E3227C">
      <w:pPr>
        <w:pBdr>
          <w:top w:val="nil"/>
          <w:left w:val="nil"/>
          <w:bottom w:val="nil"/>
          <w:right w:val="nil"/>
          <w:between w:val="nil"/>
          <w:bar w:val="nil"/>
        </w:pBdr>
        <w:spacing w:after="0" w:line="240" w:lineRule="auto"/>
        <w:jc w:val="center"/>
        <w:rPr>
          <w:rFonts w:ascii="Arial" w:eastAsia="Calibri" w:hAnsi="Arial" w:cs="Calibri"/>
          <w:b/>
          <w:bCs/>
          <w:color w:val="000000"/>
          <w:sz w:val="28"/>
          <w:u w:color="000000"/>
          <w:bdr w:val="nil"/>
        </w:rPr>
      </w:pPr>
    </w:p>
    <w:p w:rsidR="00637AE3" w:rsidRPr="00F260F1"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r w:rsidRPr="00F260F1">
        <w:rPr>
          <w:rFonts w:ascii="Arial" w:eastAsia="Calibri" w:hAnsi="Arial" w:cs="Calibri"/>
          <w:b/>
          <w:bCs/>
          <w:color w:val="000000"/>
          <w:sz w:val="24"/>
          <w:u w:color="000000"/>
          <w:bdr w:val="nil"/>
        </w:rPr>
        <w:t>ATENTAMENTE</w:t>
      </w:r>
    </w:p>
    <w:p w:rsidR="00637AE3" w:rsidRPr="00F260F1"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r w:rsidRPr="00F260F1">
        <w:rPr>
          <w:rFonts w:ascii="Arial" w:eastAsia="Calibri" w:hAnsi="Arial" w:cs="Calibri"/>
          <w:b/>
          <w:bCs/>
          <w:color w:val="000000"/>
          <w:sz w:val="24"/>
          <w:u w:color="000000"/>
          <w:bdr w:val="nil"/>
        </w:rPr>
        <w:t xml:space="preserve">SUFRAGIO EFECTIVO. NO </w:t>
      </w:r>
      <w:r w:rsidR="00120183">
        <w:rPr>
          <w:rFonts w:ascii="Arial" w:eastAsia="Calibri" w:hAnsi="Arial" w:cs="Calibri"/>
          <w:b/>
          <w:bCs/>
          <w:color w:val="000000"/>
          <w:sz w:val="24"/>
          <w:u w:color="000000"/>
          <w:bdr w:val="nil"/>
        </w:rPr>
        <w:t>REELEC</w:t>
      </w:r>
      <w:r w:rsidRPr="00F260F1">
        <w:rPr>
          <w:rFonts w:ascii="Arial" w:eastAsia="Calibri" w:hAnsi="Arial" w:cs="Calibri"/>
          <w:b/>
          <w:bCs/>
          <w:color w:val="000000"/>
          <w:sz w:val="24"/>
          <w:u w:color="000000"/>
          <w:bdr w:val="nil"/>
        </w:rPr>
        <w:t>CIÓN</w:t>
      </w:r>
    </w:p>
    <w:p w:rsidR="00EF25F7" w:rsidRPr="00F260F1" w:rsidRDefault="002F3B96" w:rsidP="00E3227C">
      <w:pPr>
        <w:pBdr>
          <w:top w:val="nil"/>
          <w:left w:val="nil"/>
          <w:bottom w:val="nil"/>
          <w:right w:val="nil"/>
          <w:between w:val="nil"/>
          <w:bar w:val="nil"/>
        </w:pBdr>
        <w:spacing w:after="0" w:line="240" w:lineRule="auto"/>
        <w:jc w:val="center"/>
        <w:rPr>
          <w:rFonts w:ascii="Arial" w:eastAsia="Calibri" w:hAnsi="Arial" w:cs="Calibri"/>
          <w:bCs/>
          <w:i/>
          <w:color w:val="000000"/>
          <w:u w:color="000000"/>
          <w:bdr w:val="nil"/>
        </w:rPr>
      </w:pPr>
      <w:r w:rsidRPr="00F260F1">
        <w:rPr>
          <w:rFonts w:ascii="Arial" w:eastAsia="Calibri" w:hAnsi="Arial" w:cs="Calibri"/>
          <w:bCs/>
          <w:i/>
          <w:color w:val="000000"/>
          <w:u w:color="000000"/>
          <w:bdr w:val="nil"/>
        </w:rPr>
        <w:t>“2019, AÑO DE LA IGUALDAD DE GÉNERO EN JALISCO”</w:t>
      </w:r>
    </w:p>
    <w:p w:rsidR="00354510" w:rsidRPr="00F260F1" w:rsidRDefault="00354510"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r w:rsidRPr="00F260F1">
        <w:rPr>
          <w:rFonts w:ascii="Arial" w:eastAsia="Arial Unicode MS" w:hAnsi="Arial" w:cs="Arial"/>
          <w:i/>
          <w:szCs w:val="24"/>
          <w:u w:color="000000"/>
          <w:bdr w:val="nil"/>
          <w:lang w:val="es-ES"/>
        </w:rPr>
        <w:t>“2019, AÑO DEL LXXX ANIVERSARIO DE LA ESCUELA SECUNDARIA LIC. BENITO JUÁREZ”</w:t>
      </w:r>
    </w:p>
    <w:p w:rsidR="00637AE3" w:rsidRDefault="00637AE3" w:rsidP="00F5585D">
      <w:pPr>
        <w:pBdr>
          <w:top w:val="nil"/>
          <w:left w:val="nil"/>
          <w:bottom w:val="nil"/>
          <w:right w:val="nil"/>
          <w:between w:val="nil"/>
          <w:bar w:val="nil"/>
        </w:pBdr>
        <w:spacing w:after="0"/>
        <w:jc w:val="center"/>
        <w:rPr>
          <w:rFonts w:ascii="Arial" w:eastAsia="Arial Unicode MS" w:hAnsi="Arial" w:cs="Arial"/>
          <w:i/>
          <w:sz w:val="24"/>
          <w:szCs w:val="24"/>
          <w:u w:color="000000"/>
          <w:bdr w:val="nil"/>
          <w:lang w:val="es-ES"/>
        </w:rPr>
      </w:pPr>
      <w:r w:rsidRPr="001C2D36">
        <w:rPr>
          <w:rFonts w:ascii="Arial" w:eastAsia="Calibri" w:hAnsi="Arial" w:cs="Calibri"/>
          <w:bCs/>
          <w:color w:val="000000"/>
          <w:u w:color="000000"/>
          <w:bdr w:val="nil"/>
        </w:rPr>
        <w:t xml:space="preserve">CIUDAD GUZMÁN, MUNICIPIO DE ZAPOTLÁN EL GRANDE, JALISCO, </w:t>
      </w:r>
      <w:r w:rsidR="007A7B8B" w:rsidRPr="001C2D36">
        <w:rPr>
          <w:rFonts w:ascii="Arial" w:eastAsia="Calibri" w:hAnsi="Arial" w:cs="Calibri"/>
          <w:bCs/>
          <w:color w:val="000000"/>
          <w:u w:color="000000"/>
          <w:bdr w:val="nil"/>
        </w:rPr>
        <w:t xml:space="preserve">JUNIO </w:t>
      </w:r>
      <w:r w:rsidR="006147FB">
        <w:rPr>
          <w:rFonts w:ascii="Arial" w:eastAsia="Calibri" w:hAnsi="Arial" w:cs="Calibri"/>
          <w:bCs/>
          <w:color w:val="000000"/>
          <w:u w:color="000000"/>
          <w:bdr w:val="nil"/>
        </w:rPr>
        <w:t>21</w:t>
      </w:r>
      <w:r w:rsidRPr="001C2D36">
        <w:rPr>
          <w:rFonts w:ascii="Arial" w:eastAsia="Calibri" w:hAnsi="Arial" w:cs="Calibri"/>
          <w:bCs/>
          <w:color w:val="000000"/>
          <w:u w:color="000000"/>
          <w:bdr w:val="nil"/>
        </w:rPr>
        <w:t xml:space="preserve"> </w:t>
      </w:r>
      <w:r w:rsidR="00354510" w:rsidRPr="001C2D36">
        <w:rPr>
          <w:rFonts w:ascii="Arial" w:eastAsia="Calibri" w:hAnsi="Arial" w:cs="Calibri"/>
          <w:bCs/>
          <w:color w:val="000000"/>
          <w:u w:color="000000"/>
          <w:bdr w:val="nil"/>
        </w:rPr>
        <w:t>DEL AÑO 2019</w:t>
      </w:r>
      <w:r w:rsidR="00D25F6E" w:rsidRPr="001C2D36">
        <w:rPr>
          <w:rFonts w:ascii="Arial" w:eastAsia="Calibri" w:hAnsi="Arial" w:cs="Calibri"/>
          <w:bCs/>
          <w:color w:val="000000"/>
          <w:u w:color="000000"/>
          <w:bdr w:val="nil"/>
        </w:rPr>
        <w:t>.</w:t>
      </w:r>
      <w:r w:rsidRPr="001C2D36">
        <w:rPr>
          <w:rFonts w:ascii="Arial" w:eastAsia="Arial Unicode MS" w:hAnsi="Arial" w:cs="Arial"/>
          <w:i/>
          <w:sz w:val="24"/>
          <w:szCs w:val="24"/>
          <w:u w:color="000000"/>
          <w:bdr w:val="nil"/>
          <w:lang w:val="es-ES"/>
        </w:rPr>
        <w:t xml:space="preserve"> </w:t>
      </w:r>
    </w:p>
    <w:p w:rsidR="00637AE3" w:rsidRPr="00F260F1"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Cs w:val="20"/>
          <w:u w:color="000000"/>
          <w:bdr w:val="nil"/>
        </w:rPr>
      </w:pPr>
    </w:p>
    <w:p w:rsidR="00637AE3" w:rsidRPr="00F260F1"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8"/>
          <w:szCs w:val="20"/>
          <w:u w:color="000000"/>
          <w:bdr w:val="nil"/>
        </w:rPr>
      </w:pPr>
      <w:r w:rsidRPr="00F260F1">
        <w:rPr>
          <w:rFonts w:ascii="Arial" w:eastAsia="Calibri" w:hAnsi="Arial" w:cs="Arial"/>
          <w:b/>
          <w:bCs/>
          <w:color w:val="000000"/>
          <w:sz w:val="28"/>
          <w:szCs w:val="20"/>
          <w:u w:color="000000"/>
          <w:bdr w:val="nil"/>
        </w:rPr>
        <w:t>La Comisión Edilicia de Hacienda Pública y de Patrimonio Municipal</w:t>
      </w:r>
    </w:p>
    <w:p w:rsidR="00637AE3" w:rsidRPr="00F260F1"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8"/>
          <w:szCs w:val="20"/>
          <w:u w:color="000000"/>
          <w:bdr w:val="nil"/>
        </w:rPr>
      </w:pPr>
    </w:p>
    <w:p w:rsidR="00637AE3" w:rsidRPr="00F260F1"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8"/>
          <w:szCs w:val="20"/>
          <w:u w:color="000000"/>
          <w:bdr w:val="nil"/>
        </w:rPr>
      </w:pPr>
    </w:p>
    <w:p w:rsidR="00137205" w:rsidRDefault="00137205" w:rsidP="006147FB">
      <w:pPr>
        <w:spacing w:after="0" w:line="240" w:lineRule="auto"/>
        <w:rPr>
          <w:rFonts w:ascii="Arial" w:eastAsia="Arial Unicode MS" w:hAnsi="Arial" w:cs="Arial"/>
          <w:sz w:val="24"/>
          <w:szCs w:val="24"/>
          <w:bdr w:val="nil"/>
        </w:rPr>
      </w:pPr>
    </w:p>
    <w:p w:rsidR="00137205" w:rsidRDefault="00137205" w:rsidP="008629D1">
      <w:pPr>
        <w:spacing w:after="0" w:line="240" w:lineRule="auto"/>
        <w:jc w:val="center"/>
        <w:rPr>
          <w:rFonts w:ascii="Arial" w:eastAsia="Arial Unicode MS" w:hAnsi="Arial" w:cs="Arial"/>
          <w:sz w:val="24"/>
          <w:szCs w:val="24"/>
          <w:bdr w:val="nil"/>
        </w:rPr>
      </w:pPr>
    </w:p>
    <w:p w:rsidR="00137205" w:rsidRDefault="00137205" w:rsidP="008629D1">
      <w:pPr>
        <w:spacing w:after="0" w:line="240" w:lineRule="auto"/>
        <w:jc w:val="center"/>
        <w:rPr>
          <w:rFonts w:ascii="Arial" w:eastAsia="Arial Unicode MS" w:hAnsi="Arial" w:cs="Arial"/>
          <w:sz w:val="24"/>
          <w:szCs w:val="24"/>
          <w:bdr w:val="nil"/>
        </w:rPr>
      </w:pPr>
    </w:p>
    <w:p w:rsidR="00137205" w:rsidRDefault="00137205" w:rsidP="008629D1">
      <w:pPr>
        <w:spacing w:after="0" w:line="240" w:lineRule="auto"/>
        <w:jc w:val="center"/>
        <w:rPr>
          <w:rFonts w:ascii="Arial" w:eastAsia="Arial Unicode MS" w:hAnsi="Arial" w:cs="Arial"/>
          <w:sz w:val="24"/>
          <w:szCs w:val="24"/>
          <w:bdr w:val="nil"/>
        </w:rPr>
      </w:pPr>
    </w:p>
    <w:p w:rsidR="008629D1" w:rsidRPr="00DB775C" w:rsidRDefault="008629D1" w:rsidP="008629D1">
      <w:pPr>
        <w:spacing w:after="0" w:line="240" w:lineRule="auto"/>
        <w:jc w:val="center"/>
        <w:rPr>
          <w:rFonts w:ascii="Arial" w:eastAsia="Arial Unicode MS" w:hAnsi="Arial" w:cs="Arial"/>
          <w:sz w:val="24"/>
          <w:szCs w:val="24"/>
          <w:bdr w:val="nil"/>
        </w:rPr>
      </w:pPr>
      <w:r w:rsidRPr="00DB775C">
        <w:rPr>
          <w:rFonts w:ascii="Arial" w:eastAsia="Arial Unicode MS" w:hAnsi="Arial" w:cs="Arial"/>
          <w:sz w:val="24"/>
          <w:szCs w:val="24"/>
          <w:bdr w:val="nil"/>
        </w:rPr>
        <w:t>LIC. LAURA ELENA MARTÍNEZ RUVALCABA</w:t>
      </w:r>
    </w:p>
    <w:p w:rsidR="008629D1" w:rsidRPr="00F260F1" w:rsidRDefault="008629D1" w:rsidP="008629D1">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F260F1">
        <w:rPr>
          <w:rFonts w:ascii="Arial" w:eastAsia="Calibri" w:hAnsi="Arial" w:cs="Arial"/>
          <w:bCs/>
          <w:color w:val="000000"/>
          <w:sz w:val="24"/>
          <w:szCs w:val="20"/>
          <w:u w:color="000000"/>
          <w:bdr w:val="nil"/>
        </w:rPr>
        <w:t>Presidenta de la Comisión</w:t>
      </w:r>
    </w:p>
    <w:p w:rsidR="00637AE3" w:rsidRDefault="00637AE3" w:rsidP="00DB775C">
      <w:pPr>
        <w:spacing w:after="0" w:line="240" w:lineRule="auto"/>
        <w:jc w:val="center"/>
        <w:rPr>
          <w:rFonts w:ascii="Arial" w:eastAsia="Arial Unicode MS" w:hAnsi="Arial" w:cs="Arial"/>
          <w:sz w:val="24"/>
          <w:szCs w:val="24"/>
          <w:bdr w:val="nil"/>
        </w:rPr>
      </w:pPr>
    </w:p>
    <w:p w:rsidR="008629D1" w:rsidRDefault="008629D1" w:rsidP="00DB775C">
      <w:pPr>
        <w:spacing w:after="0" w:line="240" w:lineRule="auto"/>
        <w:jc w:val="center"/>
        <w:rPr>
          <w:rFonts w:ascii="Arial" w:eastAsia="Arial Unicode MS" w:hAnsi="Arial" w:cs="Arial"/>
          <w:sz w:val="24"/>
          <w:szCs w:val="24"/>
          <w:bdr w:val="nil"/>
        </w:rPr>
      </w:pPr>
    </w:p>
    <w:p w:rsidR="008629D1" w:rsidRDefault="008629D1" w:rsidP="00DB775C">
      <w:pPr>
        <w:spacing w:after="0" w:line="240" w:lineRule="auto"/>
        <w:jc w:val="center"/>
        <w:rPr>
          <w:rFonts w:ascii="Arial" w:eastAsia="Arial Unicode MS" w:hAnsi="Arial" w:cs="Arial"/>
          <w:sz w:val="24"/>
          <w:szCs w:val="24"/>
          <w:bdr w:val="nil"/>
        </w:rPr>
      </w:pPr>
    </w:p>
    <w:p w:rsidR="008629D1" w:rsidRDefault="008629D1" w:rsidP="00DB775C">
      <w:pPr>
        <w:spacing w:after="0" w:line="240" w:lineRule="auto"/>
        <w:jc w:val="center"/>
        <w:rPr>
          <w:rFonts w:ascii="Arial" w:eastAsia="Arial Unicode MS" w:hAnsi="Arial" w:cs="Arial"/>
          <w:sz w:val="24"/>
          <w:szCs w:val="24"/>
          <w:bdr w:val="nil"/>
        </w:rPr>
      </w:pPr>
    </w:p>
    <w:p w:rsidR="008629D1" w:rsidRPr="00DB775C" w:rsidRDefault="008629D1" w:rsidP="00DB775C">
      <w:pPr>
        <w:spacing w:after="0" w:line="240" w:lineRule="auto"/>
        <w:jc w:val="center"/>
        <w:rPr>
          <w:rFonts w:ascii="Arial" w:eastAsia="Arial Unicode MS" w:hAnsi="Arial" w:cs="Arial"/>
          <w:sz w:val="24"/>
          <w:szCs w:val="24"/>
          <w:bdr w:val="n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629D1" w:rsidTr="008629D1">
        <w:tc>
          <w:tcPr>
            <w:tcW w:w="4697" w:type="dxa"/>
          </w:tcPr>
          <w:p w:rsidR="008629D1" w:rsidRPr="00F260F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MTRA. CINDY ESTEFANY GARCÍA OROZCO.</w:t>
            </w:r>
          </w:p>
          <w:p w:rsidR="008629D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Vocal</w:t>
            </w:r>
          </w:p>
          <w:p w:rsidR="008629D1" w:rsidRDefault="008629D1" w:rsidP="008629D1">
            <w:pPr>
              <w:jc w:val="center"/>
              <w:rPr>
                <w:rFonts w:ascii="Arial" w:eastAsia="Arial Unicode MS" w:hAnsi="Arial" w:cs="Arial"/>
                <w:sz w:val="24"/>
                <w:szCs w:val="24"/>
                <w:bdr w:val="nil"/>
              </w:rPr>
            </w:pPr>
          </w:p>
          <w:p w:rsidR="008629D1" w:rsidRDefault="008629D1" w:rsidP="008629D1">
            <w:pPr>
              <w:jc w:val="center"/>
              <w:rPr>
                <w:rFonts w:ascii="Arial" w:eastAsia="Arial Unicode MS" w:hAnsi="Arial" w:cs="Arial"/>
                <w:sz w:val="24"/>
                <w:szCs w:val="24"/>
                <w:bdr w:val="nil"/>
              </w:rPr>
            </w:pPr>
          </w:p>
          <w:p w:rsidR="008629D1" w:rsidRDefault="008629D1" w:rsidP="008629D1">
            <w:pPr>
              <w:jc w:val="center"/>
              <w:rPr>
                <w:rFonts w:ascii="Arial" w:eastAsia="Arial Unicode MS" w:hAnsi="Arial" w:cs="Arial"/>
                <w:sz w:val="24"/>
                <w:szCs w:val="24"/>
                <w:bdr w:val="nil"/>
              </w:rPr>
            </w:pPr>
          </w:p>
          <w:p w:rsidR="008629D1" w:rsidRPr="00F260F1" w:rsidRDefault="008629D1" w:rsidP="008629D1">
            <w:pPr>
              <w:jc w:val="center"/>
              <w:rPr>
                <w:rFonts w:ascii="Arial" w:eastAsia="Arial Unicode MS" w:hAnsi="Arial" w:cs="Arial"/>
                <w:sz w:val="24"/>
                <w:szCs w:val="24"/>
                <w:bdr w:val="nil"/>
              </w:rPr>
            </w:pPr>
          </w:p>
          <w:p w:rsidR="008629D1" w:rsidRDefault="008629D1" w:rsidP="00DB775C">
            <w:pPr>
              <w:jc w:val="center"/>
              <w:rPr>
                <w:rFonts w:ascii="Arial" w:eastAsia="Arial Unicode MS" w:hAnsi="Arial" w:cs="Arial"/>
                <w:sz w:val="24"/>
                <w:szCs w:val="24"/>
                <w:bdr w:val="nil"/>
              </w:rPr>
            </w:pPr>
          </w:p>
          <w:p w:rsidR="008629D1" w:rsidRDefault="008629D1" w:rsidP="00DB775C">
            <w:pPr>
              <w:jc w:val="center"/>
              <w:rPr>
                <w:rFonts w:ascii="Arial" w:eastAsia="Arial Unicode MS" w:hAnsi="Arial" w:cs="Arial"/>
                <w:sz w:val="24"/>
                <w:szCs w:val="24"/>
                <w:bdr w:val="nil"/>
              </w:rPr>
            </w:pPr>
          </w:p>
        </w:tc>
        <w:tc>
          <w:tcPr>
            <w:tcW w:w="4698" w:type="dxa"/>
          </w:tcPr>
          <w:p w:rsidR="008629D1" w:rsidRPr="00F260F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MTRO. MANUEL DE JESUS JIMENEZ GARMA</w:t>
            </w:r>
          </w:p>
          <w:p w:rsidR="008629D1" w:rsidRPr="00F260F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Vocal</w:t>
            </w:r>
          </w:p>
          <w:p w:rsidR="008629D1" w:rsidRDefault="008629D1" w:rsidP="00DB775C">
            <w:pPr>
              <w:jc w:val="center"/>
              <w:rPr>
                <w:rFonts w:ascii="Arial" w:eastAsia="Arial Unicode MS" w:hAnsi="Arial" w:cs="Arial"/>
                <w:sz w:val="24"/>
                <w:szCs w:val="24"/>
                <w:bdr w:val="nil"/>
              </w:rPr>
            </w:pPr>
          </w:p>
        </w:tc>
      </w:tr>
      <w:tr w:rsidR="008629D1" w:rsidTr="008629D1">
        <w:tc>
          <w:tcPr>
            <w:tcW w:w="4697" w:type="dxa"/>
          </w:tcPr>
          <w:p w:rsidR="008629D1" w:rsidRPr="00F260F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LIC. TANIA MAGDALENA BERNARDINO JUAREZ</w:t>
            </w:r>
          </w:p>
          <w:p w:rsidR="008629D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Vocal</w:t>
            </w:r>
          </w:p>
        </w:tc>
        <w:tc>
          <w:tcPr>
            <w:tcW w:w="4698" w:type="dxa"/>
          </w:tcPr>
          <w:p w:rsidR="008629D1" w:rsidRPr="00F260F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MTRO. NOE SAUL RAMOS GARCÍA</w:t>
            </w:r>
          </w:p>
          <w:p w:rsidR="008629D1" w:rsidRDefault="008629D1" w:rsidP="008629D1">
            <w:pPr>
              <w:jc w:val="center"/>
              <w:rPr>
                <w:rFonts w:ascii="Arial" w:eastAsia="Arial Unicode MS" w:hAnsi="Arial" w:cs="Arial"/>
                <w:sz w:val="24"/>
                <w:szCs w:val="24"/>
                <w:bdr w:val="nil"/>
              </w:rPr>
            </w:pPr>
            <w:r w:rsidRPr="00F260F1">
              <w:rPr>
                <w:rFonts w:ascii="Arial" w:eastAsia="Arial Unicode MS" w:hAnsi="Arial" w:cs="Arial"/>
                <w:sz w:val="24"/>
                <w:szCs w:val="24"/>
                <w:bdr w:val="nil"/>
              </w:rPr>
              <w:t>Vocal</w:t>
            </w:r>
          </w:p>
        </w:tc>
      </w:tr>
    </w:tbl>
    <w:p w:rsidR="00535C74" w:rsidRDefault="00535C74" w:rsidP="00637AE3">
      <w:pPr>
        <w:spacing w:after="0" w:line="240" w:lineRule="auto"/>
        <w:jc w:val="both"/>
        <w:rPr>
          <w:rFonts w:ascii="Arial" w:eastAsia="Arial Unicode MS" w:hAnsi="Arial" w:cs="Arial"/>
          <w:b/>
          <w:sz w:val="24"/>
          <w:szCs w:val="24"/>
          <w:bdr w:val="nil"/>
          <w:lang w:val="es-ES"/>
        </w:rPr>
      </w:pPr>
    </w:p>
    <w:p w:rsidR="00750B82" w:rsidRDefault="00750B82" w:rsidP="00637AE3">
      <w:pPr>
        <w:spacing w:after="0" w:line="240" w:lineRule="auto"/>
        <w:jc w:val="both"/>
        <w:rPr>
          <w:rFonts w:ascii="Arial" w:eastAsia="Arial Unicode MS" w:hAnsi="Arial" w:cs="Arial"/>
          <w:sz w:val="18"/>
          <w:szCs w:val="24"/>
          <w:bdr w:val="nil"/>
          <w:lang w:val="es-ES"/>
        </w:rPr>
      </w:pPr>
    </w:p>
    <w:p w:rsidR="00750B82" w:rsidRDefault="00750B82"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495D99">
      <w:pPr>
        <w:spacing w:after="0" w:line="240" w:lineRule="auto"/>
        <w:jc w:val="both"/>
      </w:pPr>
      <w:r w:rsidRPr="00B9296A">
        <w:rPr>
          <w:rFonts w:ascii="Arial" w:eastAsia="Arial Unicode MS" w:hAnsi="Arial" w:cs="Arial"/>
          <w:sz w:val="18"/>
          <w:szCs w:val="24"/>
          <w:bdr w:val="nil"/>
          <w:lang w:val="es-ES"/>
        </w:rPr>
        <w:t>LEMR/ama</w:t>
      </w:r>
    </w:p>
    <w:sectPr w:rsidR="00F01889" w:rsidSect="00F01889">
      <w:headerReference w:type="default" r:id="rId9"/>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07B" w:rsidRDefault="00BB107B">
      <w:pPr>
        <w:spacing w:after="0" w:line="240" w:lineRule="auto"/>
      </w:pPr>
      <w:r>
        <w:separator/>
      </w:r>
    </w:p>
  </w:endnote>
  <w:endnote w:type="continuationSeparator" w:id="0">
    <w:p w:rsidR="00BB107B" w:rsidRDefault="00BB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07B" w:rsidRDefault="00BB107B">
      <w:pPr>
        <w:spacing w:after="0" w:line="240" w:lineRule="auto"/>
      </w:pPr>
      <w:r>
        <w:separator/>
      </w:r>
    </w:p>
  </w:footnote>
  <w:footnote w:type="continuationSeparator" w:id="0">
    <w:p w:rsidR="00BB107B" w:rsidRDefault="00BB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07B" w:rsidRDefault="00FB74D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7"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BB107B">
      <w:ptab w:relativeTo="indent" w:alignment="left" w:leader="none"/>
    </w:r>
    <w:r w:rsidR="00BB107B">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36D"/>
    <w:multiLevelType w:val="hybridMultilevel"/>
    <w:tmpl w:val="05AE43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E3"/>
    <w:rsid w:val="000063E5"/>
    <w:rsid w:val="00023359"/>
    <w:rsid w:val="00052652"/>
    <w:rsid w:val="00061BDE"/>
    <w:rsid w:val="000717D9"/>
    <w:rsid w:val="000D4D33"/>
    <w:rsid w:val="000F7A79"/>
    <w:rsid w:val="00120183"/>
    <w:rsid w:val="001259BE"/>
    <w:rsid w:val="00137205"/>
    <w:rsid w:val="001638DA"/>
    <w:rsid w:val="00166D7E"/>
    <w:rsid w:val="001830D8"/>
    <w:rsid w:val="00195EF2"/>
    <w:rsid w:val="001A09D7"/>
    <w:rsid w:val="001A0DCF"/>
    <w:rsid w:val="001B1469"/>
    <w:rsid w:val="001C2D36"/>
    <w:rsid w:val="001C7CFE"/>
    <w:rsid w:val="001D7CF6"/>
    <w:rsid w:val="001E63C2"/>
    <w:rsid w:val="001F6121"/>
    <w:rsid w:val="002047D3"/>
    <w:rsid w:val="00204881"/>
    <w:rsid w:val="00211040"/>
    <w:rsid w:val="0022444A"/>
    <w:rsid w:val="0022799E"/>
    <w:rsid w:val="00234A5E"/>
    <w:rsid w:val="002B14A0"/>
    <w:rsid w:val="002F3B96"/>
    <w:rsid w:val="003001E2"/>
    <w:rsid w:val="00303074"/>
    <w:rsid w:val="003037DD"/>
    <w:rsid w:val="00337D26"/>
    <w:rsid w:val="00352F7B"/>
    <w:rsid w:val="00354510"/>
    <w:rsid w:val="003943EE"/>
    <w:rsid w:val="003A1FCA"/>
    <w:rsid w:val="00413309"/>
    <w:rsid w:val="0043228B"/>
    <w:rsid w:val="00433101"/>
    <w:rsid w:val="00442492"/>
    <w:rsid w:val="004719B5"/>
    <w:rsid w:val="00495D99"/>
    <w:rsid w:val="0049675B"/>
    <w:rsid w:val="004C6C3F"/>
    <w:rsid w:val="004D4203"/>
    <w:rsid w:val="004D53F1"/>
    <w:rsid w:val="005161F5"/>
    <w:rsid w:val="00533024"/>
    <w:rsid w:val="00535C74"/>
    <w:rsid w:val="00540BEB"/>
    <w:rsid w:val="00542C3C"/>
    <w:rsid w:val="00566EB4"/>
    <w:rsid w:val="005728F7"/>
    <w:rsid w:val="005963B8"/>
    <w:rsid w:val="005E478B"/>
    <w:rsid w:val="005E703E"/>
    <w:rsid w:val="005F59F0"/>
    <w:rsid w:val="00603396"/>
    <w:rsid w:val="006147FB"/>
    <w:rsid w:val="00637AE3"/>
    <w:rsid w:val="00641FCA"/>
    <w:rsid w:val="006675F4"/>
    <w:rsid w:val="006740EB"/>
    <w:rsid w:val="00695384"/>
    <w:rsid w:val="006D6BFA"/>
    <w:rsid w:val="006E7288"/>
    <w:rsid w:val="006F25D9"/>
    <w:rsid w:val="006F50C7"/>
    <w:rsid w:val="00706819"/>
    <w:rsid w:val="00750B82"/>
    <w:rsid w:val="007A6584"/>
    <w:rsid w:val="007A7B8B"/>
    <w:rsid w:val="007B156B"/>
    <w:rsid w:val="007C43BC"/>
    <w:rsid w:val="007D19F9"/>
    <w:rsid w:val="007E5C07"/>
    <w:rsid w:val="007F5BD0"/>
    <w:rsid w:val="00861CF3"/>
    <w:rsid w:val="008629D1"/>
    <w:rsid w:val="00871F6D"/>
    <w:rsid w:val="0088157A"/>
    <w:rsid w:val="008A2CE7"/>
    <w:rsid w:val="008F5FF2"/>
    <w:rsid w:val="00900248"/>
    <w:rsid w:val="00901670"/>
    <w:rsid w:val="0091550D"/>
    <w:rsid w:val="00923650"/>
    <w:rsid w:val="009246FA"/>
    <w:rsid w:val="00941892"/>
    <w:rsid w:val="00942680"/>
    <w:rsid w:val="009510C0"/>
    <w:rsid w:val="009612A0"/>
    <w:rsid w:val="009B06FF"/>
    <w:rsid w:val="009C5D71"/>
    <w:rsid w:val="009D299A"/>
    <w:rsid w:val="00A25BA5"/>
    <w:rsid w:val="00A52963"/>
    <w:rsid w:val="00A74678"/>
    <w:rsid w:val="00A908B7"/>
    <w:rsid w:val="00AA19EF"/>
    <w:rsid w:val="00AA4693"/>
    <w:rsid w:val="00AB3E04"/>
    <w:rsid w:val="00AC2D13"/>
    <w:rsid w:val="00AD5DD6"/>
    <w:rsid w:val="00AE42C1"/>
    <w:rsid w:val="00AF55B3"/>
    <w:rsid w:val="00AF6BCE"/>
    <w:rsid w:val="00B0017C"/>
    <w:rsid w:val="00B257CD"/>
    <w:rsid w:val="00B30D43"/>
    <w:rsid w:val="00B523EA"/>
    <w:rsid w:val="00B82F7E"/>
    <w:rsid w:val="00BA3842"/>
    <w:rsid w:val="00BA4D09"/>
    <w:rsid w:val="00BB107B"/>
    <w:rsid w:val="00BB3E7C"/>
    <w:rsid w:val="00BB51A3"/>
    <w:rsid w:val="00BC4B73"/>
    <w:rsid w:val="00BD48B1"/>
    <w:rsid w:val="00C06F1B"/>
    <w:rsid w:val="00C6562B"/>
    <w:rsid w:val="00C80076"/>
    <w:rsid w:val="00C87593"/>
    <w:rsid w:val="00CA1C2F"/>
    <w:rsid w:val="00CB40A5"/>
    <w:rsid w:val="00CE17A4"/>
    <w:rsid w:val="00D230CD"/>
    <w:rsid w:val="00D25F6E"/>
    <w:rsid w:val="00D36239"/>
    <w:rsid w:val="00D37440"/>
    <w:rsid w:val="00D43827"/>
    <w:rsid w:val="00D45015"/>
    <w:rsid w:val="00D45436"/>
    <w:rsid w:val="00D61343"/>
    <w:rsid w:val="00D67364"/>
    <w:rsid w:val="00DA59E8"/>
    <w:rsid w:val="00DB47AA"/>
    <w:rsid w:val="00DB775C"/>
    <w:rsid w:val="00DD02F3"/>
    <w:rsid w:val="00E26B5A"/>
    <w:rsid w:val="00E3227C"/>
    <w:rsid w:val="00EB734E"/>
    <w:rsid w:val="00EE4908"/>
    <w:rsid w:val="00EE7FE9"/>
    <w:rsid w:val="00EF25F7"/>
    <w:rsid w:val="00EF3A8A"/>
    <w:rsid w:val="00EF72C2"/>
    <w:rsid w:val="00F01889"/>
    <w:rsid w:val="00F072C9"/>
    <w:rsid w:val="00F144EC"/>
    <w:rsid w:val="00F14616"/>
    <w:rsid w:val="00F14D52"/>
    <w:rsid w:val="00F260F1"/>
    <w:rsid w:val="00F46B05"/>
    <w:rsid w:val="00F5585D"/>
    <w:rsid w:val="00F8091F"/>
    <w:rsid w:val="00F81381"/>
    <w:rsid w:val="00F869CE"/>
    <w:rsid w:val="00FB74D0"/>
    <w:rsid w:val="00FC0101"/>
    <w:rsid w:val="00FD4214"/>
    <w:rsid w:val="00FD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BE44A20-2A29-43DC-BE21-F0F640A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character" w:styleId="Hipervnculo">
    <w:name w:val="Hyperlink"/>
    <w:basedOn w:val="Fuentedeprrafopredeter"/>
    <w:uiPriority w:val="99"/>
    <w:unhideWhenUsed/>
    <w:rsid w:val="00DB775C"/>
    <w:rPr>
      <w:color w:val="0000FF" w:themeColor="hyperlink"/>
      <w:u w:val="single"/>
    </w:rPr>
  </w:style>
  <w:style w:type="character" w:customStyle="1" w:styleId="Mencinsinresolver1">
    <w:name w:val="Mención sin resolver1"/>
    <w:basedOn w:val="Fuentedeprrafopredeter"/>
    <w:uiPriority w:val="99"/>
    <w:semiHidden/>
    <w:unhideWhenUsed/>
    <w:rsid w:val="00DB775C"/>
    <w:rPr>
      <w:color w:val="605E5C"/>
      <w:shd w:val="clear" w:color="auto" w:fill="E1DFDD"/>
    </w:rPr>
  </w:style>
  <w:style w:type="table" w:styleId="Tablaconcuadrcula">
    <w:name w:val="Table Grid"/>
    <w:basedOn w:val="Tablanormal"/>
    <w:uiPriority w:val="59"/>
    <w:rsid w:val="00862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8596-CEAC-4609-8FBB-AC56C89A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2406</Words>
  <Characters>13234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Genaro Solano Villalvazo</dc:creator>
  <cp:lastModifiedBy>Alfonso M Allegre</cp:lastModifiedBy>
  <cp:revision>27</cp:revision>
  <cp:lastPrinted>2019-06-24T17:16:00Z</cp:lastPrinted>
  <dcterms:created xsi:type="dcterms:W3CDTF">2019-06-22T00:09:00Z</dcterms:created>
  <dcterms:modified xsi:type="dcterms:W3CDTF">2019-06-26T17:29:00Z</dcterms:modified>
</cp:coreProperties>
</file>